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4BB48" w14:textId="77777777" w:rsidR="0006431E" w:rsidRDefault="0006431E">
      <w:pPr>
        <w:jc w:val="center"/>
        <w:rPr>
          <w:b/>
          <w:color w:val="1B193E"/>
          <w:sz w:val="32"/>
        </w:rPr>
      </w:pPr>
    </w:p>
    <w:p w14:paraId="2A51D662" w14:textId="62F01FD8" w:rsidR="0006431E" w:rsidRDefault="00BF3A5F">
      <w:pPr>
        <w:pStyle w:val="P68B1DB1-Navaden1"/>
        <w:jc w:val="center"/>
      </w:pPr>
      <w:r>
        <w:t>Ficha de formación</w:t>
      </w:r>
    </w:p>
    <w:p w14:paraId="6BF48F59" w14:textId="77777777" w:rsidR="0006431E" w:rsidRDefault="0006431E">
      <w:pPr>
        <w:jc w:val="center"/>
        <w:rPr>
          <w:color w:val="1B193E"/>
          <w:sz w:val="20"/>
        </w:rPr>
      </w:pPr>
    </w:p>
    <w:tbl>
      <w:tblPr>
        <w:tblStyle w:val="Tablaconcuadrcula"/>
        <w:tblW w:w="5500" w:type="pct"/>
        <w:jc w:val="center"/>
        <w:tblLook w:val="04A0" w:firstRow="1" w:lastRow="0" w:firstColumn="1" w:lastColumn="0" w:noHBand="0" w:noVBand="1"/>
      </w:tblPr>
      <w:tblGrid>
        <w:gridCol w:w="1838"/>
        <w:gridCol w:w="1876"/>
        <w:gridCol w:w="1876"/>
        <w:gridCol w:w="1776"/>
        <w:gridCol w:w="1977"/>
      </w:tblGrid>
      <w:tr w:rsidR="0006431E" w14:paraId="3B832872" w14:textId="77777777">
        <w:trPr>
          <w:trHeight w:val="425"/>
          <w:jc w:val="center"/>
        </w:trPr>
        <w:tc>
          <w:tcPr>
            <w:tcW w:w="1838" w:type="dxa"/>
            <w:shd w:val="clear" w:color="auto" w:fill="0AD995"/>
            <w:vAlign w:val="center"/>
          </w:tcPr>
          <w:p w14:paraId="4828B71D" w14:textId="307B3EE9" w:rsidR="0006431E" w:rsidRDefault="00000000">
            <w:pPr>
              <w:pStyle w:val="P68B1DB1-Navaden2"/>
            </w:pPr>
            <w:r>
              <w:t>Título</w:t>
            </w:r>
          </w:p>
        </w:tc>
        <w:tc>
          <w:tcPr>
            <w:tcW w:w="7505" w:type="dxa"/>
            <w:gridSpan w:val="4"/>
            <w:vAlign w:val="center"/>
          </w:tcPr>
          <w:p w14:paraId="5D059DCA" w14:textId="01F269D3" w:rsidR="0006431E" w:rsidRDefault="00000000">
            <w:pPr>
              <w:pStyle w:val="P68B1DB1-Navaden3"/>
            </w:pPr>
            <w:r>
              <w:t>Gestión financiera digital</w:t>
            </w:r>
          </w:p>
        </w:tc>
      </w:tr>
      <w:tr w:rsidR="0006431E" w14:paraId="54097D52" w14:textId="77777777">
        <w:trPr>
          <w:trHeight w:val="425"/>
          <w:jc w:val="center"/>
        </w:trPr>
        <w:tc>
          <w:tcPr>
            <w:tcW w:w="1838" w:type="dxa"/>
            <w:shd w:val="clear" w:color="auto" w:fill="0AD995"/>
            <w:vAlign w:val="center"/>
          </w:tcPr>
          <w:p w14:paraId="31B383FE" w14:textId="6C19F3B8" w:rsidR="0006431E" w:rsidRDefault="00000000">
            <w:pPr>
              <w:pStyle w:val="P68B1DB1-Navaden2"/>
            </w:pPr>
            <w:r>
              <w:t>Keywords</w:t>
            </w:r>
          </w:p>
        </w:tc>
        <w:tc>
          <w:tcPr>
            <w:tcW w:w="7505" w:type="dxa"/>
            <w:gridSpan w:val="4"/>
            <w:vAlign w:val="center"/>
          </w:tcPr>
          <w:p w14:paraId="4EDB744D" w14:textId="4F4FC045" w:rsidR="0006431E" w:rsidRDefault="00000000">
            <w:pPr>
              <w:pStyle w:val="P68B1DB1-Navaden3"/>
            </w:pPr>
            <w:r>
              <w:t>Automatización, Seguimiento en tiempo real, Presupuesto, Planificación financiera, Aplicaciones de finanzas móviles, Presupuesto inteligente, Gestión de flujo de efectivo</w:t>
            </w:r>
          </w:p>
        </w:tc>
      </w:tr>
      <w:tr w:rsidR="0006431E" w14:paraId="4F2B8646" w14:textId="77777777">
        <w:trPr>
          <w:trHeight w:val="425"/>
          <w:jc w:val="center"/>
        </w:trPr>
        <w:tc>
          <w:tcPr>
            <w:tcW w:w="1838" w:type="dxa"/>
            <w:shd w:val="clear" w:color="auto" w:fill="0AD995"/>
            <w:vAlign w:val="center"/>
          </w:tcPr>
          <w:p w14:paraId="0B199A58" w14:textId="1F9B8D7C" w:rsidR="0006431E" w:rsidRDefault="00000000">
            <w:pPr>
              <w:pStyle w:val="P68B1DB1-Navaden2"/>
            </w:pPr>
            <w:r>
              <w:t>Proporcionado por</w:t>
            </w:r>
          </w:p>
        </w:tc>
        <w:tc>
          <w:tcPr>
            <w:tcW w:w="7505" w:type="dxa"/>
            <w:gridSpan w:val="4"/>
            <w:vAlign w:val="center"/>
          </w:tcPr>
          <w:p w14:paraId="7042D67E" w14:textId="488628C2" w:rsidR="0006431E" w:rsidRDefault="00000000">
            <w:pPr>
              <w:pStyle w:val="P68B1DB1-Navaden3"/>
            </w:pPr>
            <w:r>
              <w:t>R</w:t>
            </w:r>
            <w:r w:rsidR="00BF3A5F">
              <w:t>R</w:t>
            </w:r>
            <w:r>
              <w:t>A Nova Gorica</w:t>
            </w:r>
          </w:p>
        </w:tc>
      </w:tr>
      <w:tr w:rsidR="0006431E" w14:paraId="1ED135F0" w14:textId="77777777">
        <w:trPr>
          <w:trHeight w:val="425"/>
          <w:jc w:val="center"/>
        </w:trPr>
        <w:tc>
          <w:tcPr>
            <w:tcW w:w="1838" w:type="dxa"/>
            <w:shd w:val="clear" w:color="auto" w:fill="0AD995"/>
            <w:vAlign w:val="center"/>
          </w:tcPr>
          <w:p w14:paraId="53CB17DA" w14:textId="08C216AA" w:rsidR="0006431E" w:rsidRDefault="00000000">
            <w:pPr>
              <w:pStyle w:val="P68B1DB1-Navaden2"/>
            </w:pPr>
            <w:r>
              <w:t>Idioma</w:t>
            </w:r>
          </w:p>
        </w:tc>
        <w:tc>
          <w:tcPr>
            <w:tcW w:w="7505" w:type="dxa"/>
            <w:gridSpan w:val="4"/>
            <w:vAlign w:val="center"/>
          </w:tcPr>
          <w:p w14:paraId="315ED9AB" w14:textId="714A48CC" w:rsidR="0006431E" w:rsidRDefault="00BF3A5F">
            <w:pPr>
              <w:pStyle w:val="P68B1DB1-Navaden3"/>
            </w:pPr>
            <w:r>
              <w:t>Español</w:t>
            </w:r>
          </w:p>
        </w:tc>
      </w:tr>
      <w:tr w:rsidR="0006431E" w14:paraId="20FDEE9F" w14:textId="77777777">
        <w:trPr>
          <w:trHeight w:val="425"/>
          <w:jc w:val="center"/>
        </w:trPr>
        <w:tc>
          <w:tcPr>
            <w:tcW w:w="1838" w:type="dxa"/>
            <w:shd w:val="clear" w:color="auto" w:fill="0AD995"/>
            <w:vAlign w:val="center"/>
          </w:tcPr>
          <w:p w14:paraId="593D0F14" w14:textId="7912FB75" w:rsidR="0006431E" w:rsidRDefault="00000000">
            <w:pPr>
              <w:pStyle w:val="P68B1DB1-Navaden2"/>
            </w:pPr>
            <w:r>
              <w:t>Área de formación</w:t>
            </w:r>
          </w:p>
        </w:tc>
        <w:tc>
          <w:tcPr>
            <w:tcW w:w="7505" w:type="dxa"/>
            <w:gridSpan w:val="4"/>
            <w:vAlign w:val="center"/>
          </w:tcPr>
          <w:p w14:paraId="0E9B760E" w14:textId="74CE3853" w:rsidR="0006431E" w:rsidRDefault="00000000">
            <w:pPr>
              <w:pStyle w:val="P68B1DB1-Navaden4"/>
              <w:rPr>
                <w:rFonts w:cstheme="minorHAnsi"/>
              </w:rPr>
            </w:pPr>
            <w:sdt>
              <w:sdtPr>
                <w:rPr>
                  <w:rFonts w:cstheme="minorHAnsi"/>
                  <w:bCs/>
                  <w:szCs w:val="24"/>
                </w:rPr>
                <w:id w:val="143447355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BF3A5F">
              <w:rPr>
                <w:rFonts w:cstheme="minorHAnsi"/>
              </w:rPr>
              <w:t>F</w:t>
            </w:r>
            <w:r>
              <w:rPr>
                <w:color w:val="1B193E"/>
              </w:rPr>
              <w:t>undamentos del emprendimiento digital en entornos de microempresas</w:t>
            </w:r>
            <w:r>
              <w:rPr>
                <w:rFonts w:cstheme="minorHAnsi"/>
              </w:rPr>
              <w:t xml:space="preserve"> </w:t>
            </w:r>
          </w:p>
          <w:p w14:paraId="2ADF6726" w14:textId="7742BC7D" w:rsidR="0006431E" w:rsidRDefault="00000000">
            <w:pPr>
              <w:pStyle w:val="P68B1DB1-Navaden4"/>
              <w:rPr>
                <w:rFonts w:cstheme="minorHAnsi"/>
              </w:rPr>
            </w:pPr>
            <w:sdt>
              <w:sdtPr>
                <w:rPr>
                  <w:rFonts w:cstheme="minorHAnsi"/>
                  <w:bCs/>
                  <w:szCs w:val="24"/>
                </w:rPr>
                <w:id w:val="152089982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BF3A5F">
              <w:rPr>
                <w:color w:val="1B193E"/>
              </w:rPr>
              <w:t>C</w:t>
            </w:r>
            <w:r>
              <w:rPr>
                <w:color w:val="1B193E"/>
              </w:rPr>
              <w:t>omunicación digital y branding</w:t>
            </w:r>
          </w:p>
          <w:p w14:paraId="46274308" w14:textId="6BEA907D" w:rsidR="0006431E" w:rsidRDefault="00000000">
            <w:pPr>
              <w:pStyle w:val="P68B1DB1-Navaden4"/>
              <w:rPr>
                <w:rFonts w:cstheme="minorHAnsi"/>
              </w:rPr>
            </w:pPr>
            <w:sdt>
              <w:sdtPr>
                <w:rPr>
                  <w:rFonts w:cstheme="minorHAnsi"/>
                  <w:bCs/>
                  <w:szCs w:val="24"/>
                </w:rPr>
                <w:id w:val="-1358348386"/>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BF3A5F">
              <w:rPr>
                <w:color w:val="1B193E"/>
              </w:rPr>
              <w:t>Fi</w:t>
            </w:r>
            <w:r>
              <w:rPr>
                <w:color w:val="1B193E"/>
              </w:rPr>
              <w:t>nanzas digitales</w:t>
            </w:r>
          </w:p>
          <w:p w14:paraId="16785267" w14:textId="7EC0C7A1" w:rsidR="0006431E" w:rsidRDefault="00000000">
            <w:pPr>
              <w:pStyle w:val="P68B1DB1-Navaden4"/>
              <w:rPr>
                <w:color w:val="1B193E"/>
              </w:rPr>
            </w:pPr>
            <w:sdt>
              <w:sdtPr>
                <w:rPr>
                  <w:rFonts w:cstheme="minorHAnsi"/>
                  <w:bCs/>
                  <w:szCs w:val="24"/>
                </w:rPr>
                <w:id w:val="-69591683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BF3A5F">
              <w:rPr>
                <w:color w:val="1B193E"/>
              </w:rPr>
              <w:t>C</w:t>
            </w:r>
            <w:r>
              <w:rPr>
                <w:color w:val="1B193E"/>
              </w:rPr>
              <w:t>iberseguridad</w:t>
            </w:r>
          </w:p>
        </w:tc>
      </w:tr>
      <w:tr w:rsidR="0006431E" w14:paraId="452552AE" w14:textId="77777777">
        <w:trPr>
          <w:trHeight w:val="425"/>
          <w:jc w:val="center"/>
        </w:trPr>
        <w:tc>
          <w:tcPr>
            <w:tcW w:w="1838" w:type="dxa"/>
            <w:vMerge w:val="restart"/>
            <w:shd w:val="clear" w:color="auto" w:fill="0AD995"/>
            <w:vAlign w:val="center"/>
          </w:tcPr>
          <w:p w14:paraId="5B0EF03C" w14:textId="38010B1D" w:rsidR="0006431E" w:rsidRDefault="00000000">
            <w:pPr>
              <w:pStyle w:val="P68B1DB1-Navaden2"/>
            </w:pPr>
            <w:r>
              <w:t>Resultados del aprendizaje</w:t>
            </w:r>
          </w:p>
        </w:tc>
        <w:tc>
          <w:tcPr>
            <w:tcW w:w="7505" w:type="dxa"/>
            <w:gridSpan w:val="4"/>
            <w:shd w:val="clear" w:color="auto" w:fill="0AD995"/>
            <w:vAlign w:val="center"/>
          </w:tcPr>
          <w:p w14:paraId="6723028A" w14:textId="49CBBED6" w:rsidR="0006431E" w:rsidRDefault="00000000">
            <w:pPr>
              <w:pStyle w:val="P68B1DB1-Navaden2"/>
            </w:pPr>
            <w:r>
              <w:t>EntreComp</w:t>
            </w:r>
          </w:p>
        </w:tc>
      </w:tr>
      <w:tr w:rsidR="0006431E" w14:paraId="487C1871" w14:textId="77777777">
        <w:trPr>
          <w:trHeight w:val="425"/>
          <w:jc w:val="center"/>
        </w:trPr>
        <w:tc>
          <w:tcPr>
            <w:tcW w:w="1838" w:type="dxa"/>
            <w:vMerge/>
            <w:shd w:val="clear" w:color="auto" w:fill="0AD995"/>
            <w:vAlign w:val="center"/>
          </w:tcPr>
          <w:p w14:paraId="155BE785" w14:textId="77777777" w:rsidR="0006431E" w:rsidRDefault="0006431E">
            <w:pPr>
              <w:rPr>
                <w:b/>
                <w:color w:val="1B193E"/>
                <w:sz w:val="24"/>
              </w:rPr>
            </w:pPr>
          </w:p>
        </w:tc>
        <w:tc>
          <w:tcPr>
            <w:tcW w:w="7505" w:type="dxa"/>
            <w:gridSpan w:val="4"/>
            <w:vAlign w:val="center"/>
          </w:tcPr>
          <w:p w14:paraId="6B78DC72" w14:textId="4B2F9C89" w:rsidR="0006431E" w:rsidRDefault="00000000">
            <w:pPr>
              <w:pStyle w:val="P68B1DB1-Navaden5"/>
              <w:rPr>
                <w:rFonts w:cstheme="minorHAnsi"/>
              </w:rPr>
            </w:pPr>
            <w:sdt>
              <w:sdtPr>
                <w:rPr>
                  <w:rFonts w:cstheme="minorHAnsi"/>
                  <w:szCs w:val="24"/>
                </w:rPr>
                <w:id w:val="108819477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BF3A5F">
              <w:rPr>
                <w:rFonts w:cstheme="minorHAnsi"/>
              </w:rPr>
              <w:t>I</w:t>
            </w:r>
            <w:r>
              <w:rPr>
                <w:color w:val="1B193E"/>
              </w:rPr>
              <w:t>deas y oportunidades</w:t>
            </w:r>
            <w:r>
              <w:rPr>
                <w:rFonts w:cstheme="minorHAnsi"/>
              </w:rPr>
              <w:t xml:space="preserve"> </w:t>
            </w:r>
          </w:p>
          <w:p w14:paraId="16ADEEAA" w14:textId="7AF62556" w:rsidR="0006431E" w:rsidRDefault="00000000">
            <w:pPr>
              <w:pStyle w:val="P68B1DB1-Navaden5"/>
              <w:rPr>
                <w:rFonts w:cstheme="minorHAnsi"/>
              </w:rPr>
            </w:pPr>
            <w:sdt>
              <w:sdtPr>
                <w:rPr>
                  <w:rFonts w:cstheme="minorHAnsi"/>
                  <w:szCs w:val="24"/>
                </w:rPr>
                <w:id w:val="473185058"/>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BF3A5F">
              <w:rPr>
                <w:color w:val="1B193E"/>
              </w:rPr>
              <w:t>R</w:t>
            </w:r>
            <w:r>
              <w:rPr>
                <w:color w:val="1B193E"/>
              </w:rPr>
              <w:t>ecursos</w:t>
            </w:r>
          </w:p>
          <w:p w14:paraId="29A99CF1" w14:textId="1EA85054" w:rsidR="0006431E" w:rsidRDefault="00000000">
            <w:pPr>
              <w:pStyle w:val="P68B1DB1-Navaden5"/>
              <w:rPr>
                <w:rFonts w:cstheme="minorHAnsi"/>
              </w:rPr>
            </w:pPr>
            <w:sdt>
              <w:sdtPr>
                <w:rPr>
                  <w:rFonts w:cstheme="minorHAnsi"/>
                  <w:szCs w:val="24"/>
                </w:rPr>
                <w:id w:val="-48617209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BF3A5F">
              <w:rPr>
                <w:color w:val="1B193E"/>
              </w:rPr>
              <w:t>E</w:t>
            </w:r>
            <w:r>
              <w:rPr>
                <w:color w:val="1B193E"/>
              </w:rPr>
              <w:t>n acción</w:t>
            </w:r>
          </w:p>
          <w:p w14:paraId="00AB9C47" w14:textId="77777777" w:rsidR="0006431E" w:rsidRDefault="0006431E">
            <w:pPr>
              <w:rPr>
                <w:color w:val="1B193E"/>
                <w:sz w:val="24"/>
              </w:rPr>
            </w:pPr>
          </w:p>
          <w:p w14:paraId="7074C126" w14:textId="3CBB131C" w:rsidR="0006431E" w:rsidRDefault="00000000">
            <w:pPr>
              <w:pStyle w:val="P68B1DB1-Navaden2"/>
            </w:pPr>
            <w:r>
              <w:t>Competencias específicas abordadas:</w:t>
            </w:r>
          </w:p>
          <w:p w14:paraId="7DDE9E70" w14:textId="77777777" w:rsidR="0006431E" w:rsidRDefault="00000000">
            <w:pPr>
              <w:pStyle w:val="P68B1DB1-Odstavekseznama6"/>
              <w:numPr>
                <w:ilvl w:val="0"/>
                <w:numId w:val="5"/>
              </w:numPr>
            </w:pPr>
            <w:r>
              <w:t>Alfabetización financiera y autoeficacia</w:t>
            </w:r>
          </w:p>
          <w:p w14:paraId="02FA1D57" w14:textId="77777777" w:rsidR="0006431E" w:rsidRDefault="00000000">
            <w:pPr>
              <w:pStyle w:val="P68B1DB1-Odstavekseznama6"/>
              <w:numPr>
                <w:ilvl w:val="0"/>
                <w:numId w:val="5"/>
              </w:numPr>
            </w:pPr>
            <w:r>
              <w:t>Competencia digital</w:t>
            </w:r>
          </w:p>
          <w:p w14:paraId="1DC24861" w14:textId="77777777" w:rsidR="0006431E" w:rsidRDefault="00000000">
            <w:pPr>
              <w:pStyle w:val="P68B1DB1-Odstavekseznama6"/>
              <w:numPr>
                <w:ilvl w:val="0"/>
                <w:numId w:val="5"/>
              </w:numPr>
            </w:pPr>
            <w:r>
              <w:t>Colaboración digital</w:t>
            </w:r>
          </w:p>
          <w:p w14:paraId="385E4EAC" w14:textId="77777777" w:rsidR="0006431E" w:rsidRDefault="00000000">
            <w:pPr>
              <w:pStyle w:val="P68B1DB1-Odstavekseznama6"/>
              <w:numPr>
                <w:ilvl w:val="0"/>
                <w:numId w:val="5"/>
              </w:numPr>
            </w:pPr>
            <w:r>
              <w:t>Sentido de iniciativa y responsabilidad</w:t>
            </w:r>
          </w:p>
          <w:p w14:paraId="01CD9FE7" w14:textId="311A2857" w:rsidR="0006431E" w:rsidRDefault="00000000">
            <w:pPr>
              <w:pStyle w:val="P68B1DB1-Odstavekseznama6"/>
              <w:numPr>
                <w:ilvl w:val="0"/>
                <w:numId w:val="5"/>
              </w:numPr>
            </w:pPr>
            <w:r>
              <w:t>Resolución de problemas</w:t>
            </w:r>
          </w:p>
        </w:tc>
      </w:tr>
      <w:tr w:rsidR="0006431E" w14:paraId="218C4615" w14:textId="77777777">
        <w:trPr>
          <w:trHeight w:val="425"/>
          <w:jc w:val="center"/>
        </w:trPr>
        <w:tc>
          <w:tcPr>
            <w:tcW w:w="1838" w:type="dxa"/>
            <w:vMerge/>
            <w:shd w:val="clear" w:color="auto" w:fill="0AD995"/>
            <w:vAlign w:val="center"/>
          </w:tcPr>
          <w:p w14:paraId="103D62CE" w14:textId="77777777" w:rsidR="0006431E" w:rsidRDefault="0006431E">
            <w:pPr>
              <w:rPr>
                <w:b/>
                <w:color w:val="1B193E"/>
                <w:sz w:val="24"/>
              </w:rPr>
            </w:pPr>
          </w:p>
        </w:tc>
        <w:tc>
          <w:tcPr>
            <w:tcW w:w="7505" w:type="dxa"/>
            <w:gridSpan w:val="4"/>
            <w:shd w:val="clear" w:color="auto" w:fill="0AD995"/>
            <w:vAlign w:val="center"/>
          </w:tcPr>
          <w:p w14:paraId="1E042F03" w14:textId="77DB53D8" w:rsidR="0006431E" w:rsidRDefault="00000000">
            <w:pPr>
              <w:pStyle w:val="P68B1DB1-Navaden2"/>
            </w:pPr>
            <w:r>
              <w:t>DigComp</w:t>
            </w:r>
          </w:p>
        </w:tc>
      </w:tr>
      <w:tr w:rsidR="0006431E" w14:paraId="6765AC75" w14:textId="77777777">
        <w:trPr>
          <w:trHeight w:val="425"/>
          <w:jc w:val="center"/>
        </w:trPr>
        <w:tc>
          <w:tcPr>
            <w:tcW w:w="1838" w:type="dxa"/>
            <w:vMerge/>
            <w:shd w:val="clear" w:color="auto" w:fill="0AD995"/>
            <w:vAlign w:val="center"/>
          </w:tcPr>
          <w:p w14:paraId="2739FBE8" w14:textId="77777777" w:rsidR="0006431E" w:rsidRDefault="0006431E">
            <w:pPr>
              <w:rPr>
                <w:b/>
                <w:color w:val="1B193E"/>
                <w:sz w:val="24"/>
              </w:rPr>
            </w:pPr>
          </w:p>
        </w:tc>
        <w:tc>
          <w:tcPr>
            <w:tcW w:w="7505" w:type="dxa"/>
            <w:gridSpan w:val="4"/>
            <w:vAlign w:val="center"/>
          </w:tcPr>
          <w:p w14:paraId="1058E330" w14:textId="30E83867" w:rsidR="0006431E" w:rsidRDefault="00000000">
            <w:pPr>
              <w:pStyle w:val="P68B1DB1-Navaden5"/>
              <w:rPr>
                <w:rFonts w:cstheme="minorHAnsi"/>
              </w:rPr>
            </w:pPr>
            <w:sdt>
              <w:sdtPr>
                <w:rPr>
                  <w:rFonts w:cstheme="minorHAnsi"/>
                  <w:szCs w:val="24"/>
                </w:rPr>
                <w:id w:val="1998687877"/>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BF3A5F">
              <w:rPr>
                <w:rFonts w:cstheme="minorHAnsi"/>
              </w:rPr>
              <w:t>A</w:t>
            </w:r>
            <w:r>
              <w:rPr>
                <w:color w:val="1B193E"/>
              </w:rPr>
              <w:t>lfabetización en información y datos</w:t>
            </w:r>
            <w:r>
              <w:rPr>
                <w:rFonts w:cstheme="minorHAnsi"/>
              </w:rPr>
              <w:t xml:space="preserve"> </w:t>
            </w:r>
          </w:p>
          <w:p w14:paraId="3D105279" w14:textId="43333CF0" w:rsidR="0006431E" w:rsidRDefault="00000000">
            <w:pPr>
              <w:pStyle w:val="P68B1DB1-Navaden5"/>
              <w:rPr>
                <w:rFonts w:cstheme="minorHAnsi"/>
              </w:rPr>
            </w:pPr>
            <w:sdt>
              <w:sdtPr>
                <w:rPr>
                  <w:rFonts w:cstheme="minorHAnsi"/>
                  <w:szCs w:val="24"/>
                </w:rPr>
                <w:id w:val="-24311149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BF3A5F">
              <w:rPr>
                <w:color w:val="1B193E"/>
              </w:rPr>
              <w:t>C</w:t>
            </w:r>
            <w:r>
              <w:rPr>
                <w:color w:val="1B193E"/>
              </w:rPr>
              <w:t>omunicación y colaboración</w:t>
            </w:r>
          </w:p>
          <w:p w14:paraId="3638C1FA" w14:textId="15FF7F96" w:rsidR="0006431E" w:rsidRDefault="00000000">
            <w:pPr>
              <w:pStyle w:val="P68B1DB1-Navaden5"/>
              <w:rPr>
                <w:rFonts w:cstheme="minorHAnsi"/>
              </w:rPr>
            </w:pPr>
            <w:sdt>
              <w:sdtPr>
                <w:rPr>
                  <w:rFonts w:cstheme="minorHAnsi"/>
                  <w:szCs w:val="24"/>
                </w:rPr>
                <w:id w:val="21940971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BF3A5F">
              <w:rPr>
                <w:color w:val="1B193E"/>
              </w:rPr>
              <w:t>C</w:t>
            </w:r>
            <w:r>
              <w:rPr>
                <w:color w:val="1B193E"/>
              </w:rPr>
              <w:t>reación de contenido digital</w:t>
            </w:r>
          </w:p>
          <w:p w14:paraId="13A1A905" w14:textId="5AC240B3" w:rsidR="0006431E" w:rsidRDefault="00000000">
            <w:pPr>
              <w:pStyle w:val="P68B1DB1-Navaden5"/>
              <w:rPr>
                <w:color w:val="1B193E"/>
              </w:rPr>
            </w:pPr>
            <w:sdt>
              <w:sdtPr>
                <w:rPr>
                  <w:rFonts w:cstheme="minorHAnsi"/>
                  <w:szCs w:val="24"/>
                </w:rPr>
                <w:id w:val="819305673"/>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BF3A5F">
              <w:rPr>
                <w:color w:val="1B193E"/>
              </w:rPr>
              <w:t>S</w:t>
            </w:r>
            <w:r>
              <w:rPr>
                <w:color w:val="1B193E"/>
              </w:rPr>
              <w:t>eguridad</w:t>
            </w:r>
          </w:p>
          <w:p w14:paraId="4D0D17E5" w14:textId="4922E3F7" w:rsidR="0006431E" w:rsidRDefault="00000000">
            <w:pPr>
              <w:pStyle w:val="P68B1DB1-Navaden5"/>
              <w:rPr>
                <w:color w:val="1B193E"/>
              </w:rPr>
            </w:pPr>
            <w:sdt>
              <w:sdtPr>
                <w:rPr>
                  <w:rFonts w:cstheme="minorHAnsi"/>
                  <w:szCs w:val="24"/>
                </w:rPr>
                <w:id w:val="2008782131"/>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BF3A5F">
              <w:rPr>
                <w:color w:val="1B193E"/>
              </w:rPr>
              <w:t>R</w:t>
            </w:r>
            <w:r>
              <w:rPr>
                <w:color w:val="1B193E"/>
              </w:rPr>
              <w:t>esolución de problemas</w:t>
            </w:r>
          </w:p>
          <w:p w14:paraId="4E3C2DEC" w14:textId="77777777" w:rsidR="0006431E" w:rsidRDefault="0006431E">
            <w:pPr>
              <w:rPr>
                <w:color w:val="1B193E"/>
                <w:sz w:val="24"/>
              </w:rPr>
            </w:pPr>
          </w:p>
          <w:p w14:paraId="75BA9537" w14:textId="77777777" w:rsidR="0006431E" w:rsidRDefault="00000000">
            <w:pPr>
              <w:pStyle w:val="P68B1DB1-Navaden2"/>
            </w:pPr>
            <w:r>
              <w:t>Competencias específicas abordadas:</w:t>
            </w:r>
          </w:p>
          <w:p w14:paraId="28D4EBDC" w14:textId="77777777" w:rsidR="0006431E" w:rsidRDefault="00000000">
            <w:pPr>
              <w:pStyle w:val="P68B1DB1-Navaden2"/>
              <w:numPr>
                <w:ilvl w:val="0"/>
                <w:numId w:val="3"/>
              </w:numPr>
            </w:pPr>
            <w:r>
              <w:t>Información y Alfabetización de Datos:</w:t>
            </w:r>
          </w:p>
          <w:p w14:paraId="0B690FB9" w14:textId="73B34975" w:rsidR="0006431E" w:rsidRDefault="00000000">
            <w:pPr>
              <w:pStyle w:val="P68B1DB1-Navaden3"/>
              <w:numPr>
                <w:ilvl w:val="1"/>
                <w:numId w:val="3"/>
              </w:numPr>
            </w:pPr>
            <w:r>
              <w:t xml:space="preserve">Competencia </w:t>
            </w:r>
            <w:r w:rsidR="00BF3A5F">
              <w:t>abordada</w:t>
            </w:r>
            <w:r>
              <w:t>: Comprender y evaluar críticamente la información financiera en formatos digitales, como estados bancarios en línea, informes de inversión y herramientas de planificación financiera digital.</w:t>
            </w:r>
          </w:p>
          <w:p w14:paraId="588CD38B" w14:textId="77777777" w:rsidR="0006431E" w:rsidRDefault="00000000">
            <w:pPr>
              <w:pStyle w:val="P68B1DB1-Navaden2"/>
              <w:numPr>
                <w:ilvl w:val="0"/>
                <w:numId w:val="3"/>
              </w:numPr>
            </w:pPr>
            <w:r>
              <w:lastRenderedPageBreak/>
              <w:t>Comunicación y Colaboración:</w:t>
            </w:r>
          </w:p>
          <w:p w14:paraId="2D9C6333" w14:textId="3BDCEAB9" w:rsidR="0006431E" w:rsidRDefault="00000000">
            <w:pPr>
              <w:pStyle w:val="P68B1DB1-Navaden3"/>
              <w:numPr>
                <w:ilvl w:val="1"/>
                <w:numId w:val="3"/>
              </w:numPr>
            </w:pPr>
            <w:r>
              <w:t xml:space="preserve">Competencia </w:t>
            </w:r>
            <w:r w:rsidR="00BF3A5F">
              <w:t>abordada</w:t>
            </w:r>
            <w:r>
              <w:t>: Utilizar herramientas y plataformas de comunicación digital para transacciones financieras, colaboración e intercambio de información dentro de un contexto financiero.</w:t>
            </w:r>
          </w:p>
          <w:p w14:paraId="63965DFD" w14:textId="77777777" w:rsidR="0006431E" w:rsidRDefault="00000000">
            <w:pPr>
              <w:pStyle w:val="P68B1DB1-Navaden2"/>
              <w:numPr>
                <w:ilvl w:val="0"/>
                <w:numId w:val="3"/>
              </w:numPr>
            </w:pPr>
            <w:r>
              <w:t>Creación de contenido digital:</w:t>
            </w:r>
          </w:p>
          <w:p w14:paraId="1AA0912C" w14:textId="693C3B35" w:rsidR="0006431E" w:rsidRDefault="00000000">
            <w:pPr>
              <w:pStyle w:val="P68B1DB1-Navaden3"/>
              <w:numPr>
                <w:ilvl w:val="1"/>
                <w:numId w:val="3"/>
              </w:numPr>
            </w:pPr>
            <w:r>
              <w:t xml:space="preserve">Competencia </w:t>
            </w:r>
            <w:r w:rsidR="00BF3A5F">
              <w:t>abordada</w:t>
            </w:r>
            <w:r>
              <w:t>: Desarrollar contenido digital relacionado con la gestión financiera, como la creación de presupuestos digitales, la utilización de software de planificación financiera y la generación de informes.</w:t>
            </w:r>
          </w:p>
          <w:p w14:paraId="1CEE0BCB" w14:textId="77777777" w:rsidR="0006431E" w:rsidRDefault="00000000">
            <w:pPr>
              <w:pStyle w:val="P68B1DB1-Navaden2"/>
              <w:numPr>
                <w:ilvl w:val="0"/>
                <w:numId w:val="3"/>
              </w:numPr>
            </w:pPr>
            <w:r>
              <w:t>Seguridad:</w:t>
            </w:r>
          </w:p>
          <w:p w14:paraId="7347372C" w14:textId="0BE02D0B" w:rsidR="0006431E" w:rsidRDefault="00000000">
            <w:pPr>
              <w:pStyle w:val="P68B1DB1-Navaden3"/>
              <w:numPr>
                <w:ilvl w:val="1"/>
                <w:numId w:val="3"/>
              </w:numPr>
            </w:pPr>
            <w:r>
              <w:t xml:space="preserve">Competencia </w:t>
            </w:r>
            <w:r w:rsidR="00BF3A5F">
              <w:t>abordada</w:t>
            </w:r>
            <w:r>
              <w:t>: Aplicar el conocimiento de las medidas de seguridad digital y las mejores prácticas al participar en transacciones financieras digitales, teniendo en cuenta cuestiones como la privacidad y la protección de datos.</w:t>
            </w:r>
          </w:p>
          <w:p w14:paraId="0E1C7751" w14:textId="77777777" w:rsidR="0006431E" w:rsidRDefault="00000000">
            <w:pPr>
              <w:pStyle w:val="P68B1DB1-Navaden2"/>
              <w:numPr>
                <w:ilvl w:val="0"/>
                <w:numId w:val="3"/>
              </w:numPr>
            </w:pPr>
            <w:r>
              <w:t>Solución de problemas:</w:t>
            </w:r>
          </w:p>
          <w:p w14:paraId="751A1A4A" w14:textId="57E9BB75" w:rsidR="0006431E" w:rsidRDefault="00000000">
            <w:pPr>
              <w:pStyle w:val="P68B1DB1-Navaden3"/>
              <w:numPr>
                <w:ilvl w:val="1"/>
                <w:numId w:val="3"/>
              </w:numPr>
            </w:pPr>
            <w:r>
              <w:t xml:space="preserve">Competencia </w:t>
            </w:r>
            <w:r w:rsidR="00BF3A5F">
              <w:t>abordada</w:t>
            </w:r>
            <w:r>
              <w:t>: Demostrar habilidades de resolución de problemas mediante el uso de herramientas digitales para abordar los desafíos financieros, evaluar riesgos y tomar decisiones informadas en el contexto de la gestión financiera digital.</w:t>
            </w:r>
          </w:p>
          <w:p w14:paraId="056F8E1C" w14:textId="77777777" w:rsidR="0006431E" w:rsidRDefault="00000000">
            <w:pPr>
              <w:pStyle w:val="P68B1DB1-Navaden2"/>
              <w:numPr>
                <w:ilvl w:val="0"/>
                <w:numId w:val="3"/>
              </w:numPr>
            </w:pPr>
            <w:r>
              <w:t>Alfabetización financiera:</w:t>
            </w:r>
          </w:p>
          <w:p w14:paraId="23AB7A27" w14:textId="4D050B4A" w:rsidR="0006431E" w:rsidRDefault="00000000">
            <w:pPr>
              <w:pStyle w:val="P68B1DB1-Navaden3"/>
              <w:numPr>
                <w:ilvl w:val="1"/>
                <w:numId w:val="3"/>
              </w:numPr>
            </w:pPr>
            <w:r>
              <w:t xml:space="preserve">Competencia </w:t>
            </w:r>
            <w:r w:rsidR="00BF3A5F">
              <w:t>abordada</w:t>
            </w:r>
            <w:r>
              <w:t>: Aplicar herramientas digitales para mejorar la educación financiera, incluida la comprensión de los beneficios y riesgos de la gestión financiera digital, y el uso de recursos en línea para la educación financiera.</w:t>
            </w:r>
          </w:p>
          <w:p w14:paraId="0479E391" w14:textId="77777777" w:rsidR="0006431E" w:rsidRDefault="00000000">
            <w:pPr>
              <w:pStyle w:val="P68B1DB1-Navaden2"/>
              <w:numPr>
                <w:ilvl w:val="0"/>
                <w:numId w:val="3"/>
              </w:numPr>
            </w:pPr>
            <w:r>
              <w:t>Habilidades digitales básicas:</w:t>
            </w:r>
          </w:p>
          <w:p w14:paraId="531BEA65" w14:textId="41887FCD" w:rsidR="0006431E" w:rsidRDefault="00000000">
            <w:pPr>
              <w:pStyle w:val="P68B1DB1-Navaden3"/>
              <w:numPr>
                <w:ilvl w:val="1"/>
                <w:numId w:val="3"/>
              </w:numPr>
            </w:pPr>
            <w:r>
              <w:t xml:space="preserve">Competencia </w:t>
            </w:r>
            <w:r w:rsidR="00BF3A5F">
              <w:t>abordada</w:t>
            </w:r>
            <w:r>
              <w:t>: Demostrar habilidades digitales básicas en el contexto de la gestión financiera, incluido el uso de servicios bancarios en línea, aplicaciones móviles y sistemas de pago digital.</w:t>
            </w:r>
          </w:p>
          <w:p w14:paraId="7681AA0D" w14:textId="4CF1157C" w:rsidR="0006431E" w:rsidRDefault="0006431E">
            <w:pPr>
              <w:rPr>
                <w:color w:val="1B193E"/>
                <w:sz w:val="24"/>
              </w:rPr>
            </w:pPr>
          </w:p>
        </w:tc>
      </w:tr>
      <w:tr w:rsidR="0006431E" w14:paraId="7F4896B0" w14:textId="77777777">
        <w:trPr>
          <w:trHeight w:val="425"/>
          <w:jc w:val="center"/>
        </w:trPr>
        <w:tc>
          <w:tcPr>
            <w:tcW w:w="1838" w:type="dxa"/>
            <w:vMerge/>
            <w:shd w:val="clear" w:color="auto" w:fill="0AD995"/>
            <w:vAlign w:val="center"/>
          </w:tcPr>
          <w:p w14:paraId="5E3B173D" w14:textId="77777777" w:rsidR="0006431E" w:rsidRDefault="0006431E">
            <w:pPr>
              <w:rPr>
                <w:b/>
                <w:color w:val="1B193E"/>
                <w:sz w:val="24"/>
              </w:rPr>
            </w:pPr>
          </w:p>
        </w:tc>
        <w:tc>
          <w:tcPr>
            <w:tcW w:w="7505" w:type="dxa"/>
            <w:gridSpan w:val="4"/>
            <w:shd w:val="clear" w:color="auto" w:fill="0AD995"/>
            <w:vAlign w:val="center"/>
          </w:tcPr>
          <w:p w14:paraId="1BF774CD" w14:textId="6503D24A" w:rsidR="0006431E" w:rsidRDefault="00000000">
            <w:pPr>
              <w:pStyle w:val="P68B1DB1-Navaden7"/>
            </w:pPr>
            <w:r>
              <w:t>Nivel de competencia</w:t>
            </w:r>
          </w:p>
        </w:tc>
      </w:tr>
      <w:tr w:rsidR="0006431E" w14:paraId="7B5D328C" w14:textId="77777777">
        <w:trPr>
          <w:trHeight w:val="210"/>
          <w:jc w:val="center"/>
        </w:trPr>
        <w:tc>
          <w:tcPr>
            <w:tcW w:w="1838" w:type="dxa"/>
            <w:vMerge/>
            <w:shd w:val="clear" w:color="auto" w:fill="0AD995"/>
            <w:vAlign w:val="center"/>
          </w:tcPr>
          <w:p w14:paraId="352B1599" w14:textId="77777777" w:rsidR="0006431E" w:rsidRDefault="0006431E">
            <w:pPr>
              <w:rPr>
                <w:b/>
                <w:color w:val="1B193E"/>
                <w:sz w:val="24"/>
              </w:rPr>
            </w:pPr>
          </w:p>
        </w:tc>
        <w:tc>
          <w:tcPr>
            <w:tcW w:w="1876" w:type="dxa"/>
            <w:vAlign w:val="center"/>
          </w:tcPr>
          <w:p w14:paraId="4FB549F4" w14:textId="5B7CE21A" w:rsidR="0006431E" w:rsidRDefault="00000000">
            <w:pPr>
              <w:pStyle w:val="P68B1DB1-Navaden5"/>
              <w:rPr>
                <w:rFonts w:cstheme="minorHAnsi"/>
              </w:rPr>
            </w:pPr>
            <w:sdt>
              <w:sdtPr>
                <w:rPr>
                  <w:rFonts w:cstheme="minorHAnsi"/>
                  <w:szCs w:val="24"/>
                </w:rPr>
                <w:id w:val="-141138446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00BF3A5F">
              <w:rPr>
                <w:rFonts w:cstheme="minorHAnsi"/>
              </w:rPr>
              <w:t>N</w:t>
            </w:r>
            <w:r>
              <w:rPr>
                <w:color w:val="1B193E"/>
              </w:rPr>
              <w:t>ivel 1</w:t>
            </w:r>
            <w:r>
              <w:rPr>
                <w:rFonts w:cstheme="minorHAnsi"/>
              </w:rPr>
              <w:t xml:space="preserve"> </w:t>
            </w:r>
          </w:p>
          <w:p w14:paraId="2BE5021E" w14:textId="16AD264F" w:rsidR="0006431E" w:rsidRDefault="00000000">
            <w:pPr>
              <w:pStyle w:val="P68B1DB1-Navaden5"/>
              <w:rPr>
                <w:rFonts w:cstheme="minorHAnsi"/>
              </w:rPr>
            </w:pPr>
            <w:sdt>
              <w:sdtPr>
                <w:rPr>
                  <w:rFonts w:cstheme="minorHAnsi"/>
                  <w:szCs w:val="24"/>
                </w:rPr>
                <w:id w:val="-64989715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BF3A5F">
              <w:rPr>
                <w:color w:val="1B193E"/>
              </w:rPr>
              <w:t>N</w:t>
            </w:r>
            <w:r>
              <w:rPr>
                <w:color w:val="1B193E"/>
              </w:rPr>
              <w:t>ivel 2</w:t>
            </w:r>
          </w:p>
        </w:tc>
        <w:tc>
          <w:tcPr>
            <w:tcW w:w="1876" w:type="dxa"/>
            <w:vAlign w:val="center"/>
          </w:tcPr>
          <w:p w14:paraId="0E739832" w14:textId="16ADEEAD" w:rsidR="0006431E" w:rsidRDefault="00000000">
            <w:pPr>
              <w:pStyle w:val="P68B1DB1-Navaden5"/>
              <w:rPr>
                <w:rFonts w:cstheme="minorHAnsi"/>
              </w:rPr>
            </w:pPr>
            <w:sdt>
              <w:sdtPr>
                <w:rPr>
                  <w:rFonts w:cstheme="minorHAnsi"/>
                  <w:szCs w:val="24"/>
                </w:rPr>
                <w:id w:val="89471039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BF3A5F">
              <w:rPr>
                <w:color w:val="1B193E"/>
              </w:rPr>
              <w:t>N</w:t>
            </w:r>
            <w:r>
              <w:rPr>
                <w:color w:val="1B193E"/>
              </w:rPr>
              <w:t>ivel 3</w:t>
            </w:r>
          </w:p>
          <w:p w14:paraId="0B8F0ED8" w14:textId="7CC58438" w:rsidR="0006431E" w:rsidRDefault="00000000">
            <w:pPr>
              <w:pStyle w:val="P68B1DB1-Navaden5"/>
              <w:rPr>
                <w:color w:val="1B193E"/>
              </w:rPr>
            </w:pPr>
            <w:sdt>
              <w:sdtPr>
                <w:rPr>
                  <w:rFonts w:cstheme="minorHAnsi"/>
                  <w:szCs w:val="24"/>
                </w:rPr>
                <w:id w:val="-1568405507"/>
                <w14:checkbox>
                  <w14:checked w14:val="1"/>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BF3A5F">
              <w:rPr>
                <w:color w:val="1B193E"/>
              </w:rPr>
              <w:t>N</w:t>
            </w:r>
            <w:r>
              <w:rPr>
                <w:color w:val="1B193E"/>
              </w:rPr>
              <w:t>ivel 4</w:t>
            </w:r>
          </w:p>
        </w:tc>
        <w:tc>
          <w:tcPr>
            <w:tcW w:w="1776" w:type="dxa"/>
            <w:vAlign w:val="center"/>
          </w:tcPr>
          <w:p w14:paraId="5B548940" w14:textId="6236DC66" w:rsidR="0006431E" w:rsidRDefault="00000000">
            <w:pPr>
              <w:pStyle w:val="P68B1DB1-Navaden5"/>
              <w:rPr>
                <w:color w:val="1B193E"/>
              </w:rPr>
            </w:pPr>
            <w:sdt>
              <w:sdtPr>
                <w:rPr>
                  <w:rFonts w:cstheme="minorHAnsi"/>
                  <w:szCs w:val="24"/>
                </w:rPr>
                <w:id w:val="-124949836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BF3A5F">
              <w:rPr>
                <w:color w:val="1B193E"/>
              </w:rPr>
              <w:t>N</w:t>
            </w:r>
            <w:r>
              <w:rPr>
                <w:color w:val="1B193E"/>
              </w:rPr>
              <w:t>ivel 5</w:t>
            </w:r>
          </w:p>
          <w:p w14:paraId="0A393510" w14:textId="68531AEA" w:rsidR="0006431E" w:rsidRDefault="00000000">
            <w:pPr>
              <w:pStyle w:val="P68B1DB1-Navaden5"/>
              <w:rPr>
                <w:rFonts w:cstheme="minorHAnsi"/>
              </w:rPr>
            </w:pPr>
            <w:sdt>
              <w:sdtPr>
                <w:rPr>
                  <w:rFonts w:cstheme="minorHAnsi"/>
                  <w:szCs w:val="24"/>
                </w:rPr>
                <w:id w:val="-6742154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BF3A5F">
              <w:rPr>
                <w:color w:val="1B193E"/>
              </w:rPr>
              <w:t>N</w:t>
            </w:r>
            <w:r>
              <w:rPr>
                <w:color w:val="1B193E"/>
              </w:rPr>
              <w:t>ivel 6</w:t>
            </w:r>
          </w:p>
        </w:tc>
        <w:tc>
          <w:tcPr>
            <w:tcW w:w="1977" w:type="dxa"/>
            <w:vAlign w:val="center"/>
          </w:tcPr>
          <w:p w14:paraId="5019E9F9" w14:textId="44D65F12" w:rsidR="0006431E" w:rsidRDefault="00000000">
            <w:pPr>
              <w:pStyle w:val="P68B1DB1-Navaden5"/>
              <w:rPr>
                <w:color w:val="1B193E"/>
              </w:rPr>
            </w:pPr>
            <w:sdt>
              <w:sdtPr>
                <w:rPr>
                  <w:rFonts w:cstheme="minorHAnsi"/>
                  <w:szCs w:val="24"/>
                </w:rPr>
                <w:id w:val="-47374959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BF3A5F">
              <w:rPr>
                <w:color w:val="1B193E"/>
              </w:rPr>
              <w:t>N</w:t>
            </w:r>
            <w:r>
              <w:rPr>
                <w:color w:val="1B193E"/>
              </w:rPr>
              <w:t>ivel 7</w:t>
            </w:r>
          </w:p>
          <w:p w14:paraId="50E8504B" w14:textId="6D6D6B65" w:rsidR="0006431E" w:rsidRDefault="00000000">
            <w:pPr>
              <w:pStyle w:val="P68B1DB1-Navaden5"/>
              <w:rPr>
                <w:color w:val="1B193E"/>
              </w:rPr>
            </w:pPr>
            <w:sdt>
              <w:sdtPr>
                <w:rPr>
                  <w:rFonts w:cstheme="minorHAnsi"/>
                  <w:szCs w:val="24"/>
                </w:rPr>
                <w:id w:val="99653368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color w:val="1B193E"/>
              </w:rPr>
              <w:t xml:space="preserve"> </w:t>
            </w:r>
            <w:r w:rsidR="00BF3A5F">
              <w:rPr>
                <w:color w:val="1B193E"/>
              </w:rPr>
              <w:t>N</w:t>
            </w:r>
            <w:r>
              <w:rPr>
                <w:color w:val="1B193E"/>
              </w:rPr>
              <w:t>ivel 8</w:t>
            </w:r>
          </w:p>
        </w:tc>
      </w:tr>
      <w:tr w:rsidR="0006431E" w14:paraId="10C575BD" w14:textId="77777777">
        <w:trPr>
          <w:trHeight w:val="210"/>
          <w:jc w:val="center"/>
        </w:trPr>
        <w:tc>
          <w:tcPr>
            <w:tcW w:w="1838" w:type="dxa"/>
            <w:vMerge/>
            <w:shd w:val="clear" w:color="auto" w:fill="0AD995"/>
            <w:vAlign w:val="center"/>
          </w:tcPr>
          <w:p w14:paraId="0CB56A4E" w14:textId="77777777" w:rsidR="0006431E" w:rsidRDefault="0006431E">
            <w:pPr>
              <w:rPr>
                <w:b/>
                <w:color w:val="1B193E"/>
                <w:sz w:val="24"/>
              </w:rPr>
            </w:pPr>
          </w:p>
        </w:tc>
        <w:tc>
          <w:tcPr>
            <w:tcW w:w="1876" w:type="dxa"/>
            <w:vAlign w:val="center"/>
          </w:tcPr>
          <w:p w14:paraId="4B18019C" w14:textId="3A083DDC" w:rsidR="0006431E" w:rsidRDefault="00000000">
            <w:pPr>
              <w:pStyle w:val="P68B1DB1-Navaden2"/>
            </w:pPr>
            <w:r>
              <w:t>Fundaci</w:t>
            </w:r>
            <w:r w:rsidR="00BF3A5F">
              <w:t>onal</w:t>
            </w:r>
          </w:p>
        </w:tc>
        <w:tc>
          <w:tcPr>
            <w:tcW w:w="1876" w:type="dxa"/>
            <w:vAlign w:val="center"/>
          </w:tcPr>
          <w:p w14:paraId="73028F0B" w14:textId="6939F37E" w:rsidR="0006431E" w:rsidRDefault="00000000">
            <w:pPr>
              <w:pStyle w:val="P68B1DB1-Navaden2"/>
            </w:pPr>
            <w:r>
              <w:t>Intermedio</w:t>
            </w:r>
          </w:p>
        </w:tc>
        <w:tc>
          <w:tcPr>
            <w:tcW w:w="1776" w:type="dxa"/>
            <w:vAlign w:val="center"/>
          </w:tcPr>
          <w:p w14:paraId="44367CE0" w14:textId="1386883F" w:rsidR="0006431E" w:rsidRDefault="00000000">
            <w:pPr>
              <w:pStyle w:val="P68B1DB1-Navaden2"/>
            </w:pPr>
            <w:r>
              <w:t>Avanzado</w:t>
            </w:r>
          </w:p>
        </w:tc>
        <w:tc>
          <w:tcPr>
            <w:tcW w:w="1977" w:type="dxa"/>
            <w:vAlign w:val="center"/>
          </w:tcPr>
          <w:p w14:paraId="26BBE178" w14:textId="34A83E8F" w:rsidR="0006431E" w:rsidRDefault="00000000">
            <w:pPr>
              <w:pStyle w:val="P68B1DB1-Navaden2"/>
            </w:pPr>
            <w:r>
              <w:t>Experto</w:t>
            </w:r>
          </w:p>
        </w:tc>
      </w:tr>
      <w:tr w:rsidR="0006431E" w14:paraId="3726EAAE" w14:textId="77777777">
        <w:trPr>
          <w:trHeight w:val="425"/>
          <w:jc w:val="center"/>
        </w:trPr>
        <w:tc>
          <w:tcPr>
            <w:tcW w:w="1838" w:type="dxa"/>
            <w:shd w:val="clear" w:color="auto" w:fill="0AD995"/>
            <w:vAlign w:val="center"/>
          </w:tcPr>
          <w:p w14:paraId="43E1C24A" w14:textId="408A99AE" w:rsidR="0006431E" w:rsidRDefault="00000000">
            <w:pPr>
              <w:pStyle w:val="P68B1DB1-Navaden2"/>
            </w:pPr>
            <w:r>
              <w:t>Descripción</w:t>
            </w:r>
          </w:p>
        </w:tc>
        <w:tc>
          <w:tcPr>
            <w:tcW w:w="7505" w:type="dxa"/>
            <w:gridSpan w:val="4"/>
            <w:vAlign w:val="center"/>
          </w:tcPr>
          <w:p w14:paraId="46E76BFF" w14:textId="54B09763" w:rsidR="0006431E" w:rsidRDefault="00BF3A5F">
            <w:pPr>
              <w:pStyle w:val="P68B1DB1-Navaden3"/>
            </w:pPr>
            <w:r>
              <w:t>La gestión financiera digital</w:t>
            </w:r>
            <w:r w:rsidR="00000000">
              <w:t xml:space="preserve"> se centra en aprovechar la tecnología para agilizar los procesos financieros. Cubre presupuestos automatizados, seguimiento de gastos en tiempo real e integración con cuentas bancarias para una categorización precisa. Los participantes aprenden a aprovechar las herramientas digitales para una planificación financiera eficiente, garantizando una toma de decisiones informada y una mejor salud financiera general.</w:t>
            </w:r>
          </w:p>
        </w:tc>
      </w:tr>
      <w:tr w:rsidR="0006431E" w14:paraId="1B812C15" w14:textId="77777777">
        <w:trPr>
          <w:trHeight w:val="425"/>
          <w:jc w:val="center"/>
        </w:trPr>
        <w:tc>
          <w:tcPr>
            <w:tcW w:w="1838" w:type="dxa"/>
            <w:shd w:val="clear" w:color="auto" w:fill="0AD995"/>
            <w:vAlign w:val="center"/>
          </w:tcPr>
          <w:p w14:paraId="6B05F544" w14:textId="6197075C" w:rsidR="0006431E" w:rsidRDefault="00000000">
            <w:pPr>
              <w:pStyle w:val="P68B1DB1-Navaden2"/>
            </w:pPr>
            <w:r>
              <w:lastRenderedPageBreak/>
              <w:t>Objetivos de aprendizaje</w:t>
            </w:r>
          </w:p>
        </w:tc>
        <w:tc>
          <w:tcPr>
            <w:tcW w:w="7505" w:type="dxa"/>
            <w:gridSpan w:val="4"/>
            <w:vAlign w:val="center"/>
          </w:tcPr>
          <w:p w14:paraId="144A4D7F" w14:textId="77777777" w:rsidR="0006431E" w:rsidRDefault="0006431E">
            <w:pPr>
              <w:rPr>
                <w:color w:val="1B193E"/>
                <w:sz w:val="24"/>
              </w:rPr>
            </w:pPr>
          </w:p>
          <w:p w14:paraId="25BDC983" w14:textId="20116D94" w:rsidR="0006431E" w:rsidRDefault="00000000">
            <w:pPr>
              <w:pStyle w:val="P68B1DB1-Odstavekseznama6"/>
              <w:numPr>
                <w:ilvl w:val="0"/>
                <w:numId w:val="2"/>
              </w:numPr>
            </w:pPr>
            <w:r>
              <w:t>Comprender los fundamentos de la gestión financiera digital</w:t>
            </w:r>
          </w:p>
          <w:p w14:paraId="6AA71C6C" w14:textId="77777777" w:rsidR="0006431E" w:rsidRDefault="0006431E">
            <w:pPr>
              <w:pStyle w:val="Prrafodelista"/>
              <w:ind w:left="360"/>
              <w:rPr>
                <w:color w:val="1B193E"/>
                <w:sz w:val="24"/>
              </w:rPr>
            </w:pPr>
          </w:p>
          <w:p w14:paraId="41AAD582" w14:textId="0FCC2A72" w:rsidR="0006431E" w:rsidRDefault="00BF3A5F">
            <w:pPr>
              <w:pStyle w:val="P68B1DB1-Odstavekseznama6"/>
              <w:numPr>
                <w:ilvl w:val="0"/>
                <w:numId w:val="2"/>
              </w:numPr>
            </w:pPr>
            <w:r>
              <w:t>Entender la</w:t>
            </w:r>
            <w:r w:rsidR="00000000">
              <w:t xml:space="preserve"> Banca Digital y</w:t>
            </w:r>
            <w:r>
              <w:t xml:space="preserve"> los</w:t>
            </w:r>
            <w:r w:rsidR="00000000">
              <w:t xml:space="preserve"> Sistemas de Pago</w:t>
            </w:r>
          </w:p>
          <w:p w14:paraId="4A7BAA65" w14:textId="77777777" w:rsidR="0006431E" w:rsidRDefault="0006431E">
            <w:pPr>
              <w:rPr>
                <w:color w:val="1B193E"/>
                <w:sz w:val="24"/>
              </w:rPr>
            </w:pPr>
          </w:p>
          <w:p w14:paraId="124547B7" w14:textId="7A2B6D36" w:rsidR="0006431E" w:rsidRDefault="00000000">
            <w:pPr>
              <w:pStyle w:val="P68B1DB1-Odstavekseznama6"/>
              <w:numPr>
                <w:ilvl w:val="0"/>
                <w:numId w:val="2"/>
              </w:numPr>
            </w:pPr>
            <w:r>
              <w:t>Optimi</w:t>
            </w:r>
            <w:r w:rsidR="00BF3A5F">
              <w:t>zar</w:t>
            </w:r>
            <w:r>
              <w:t xml:space="preserve"> el presupuesto y el seguimiento de gastos a través de herramientas digitales</w:t>
            </w:r>
          </w:p>
          <w:p w14:paraId="5E9F2CA9" w14:textId="2E3B32B1" w:rsidR="0006431E" w:rsidRDefault="0006431E">
            <w:pPr>
              <w:rPr>
                <w:color w:val="1B193E"/>
                <w:sz w:val="24"/>
              </w:rPr>
            </w:pPr>
          </w:p>
        </w:tc>
      </w:tr>
      <w:tr w:rsidR="0006431E" w14:paraId="132E9B42" w14:textId="77777777">
        <w:trPr>
          <w:trHeight w:val="425"/>
          <w:jc w:val="center"/>
        </w:trPr>
        <w:tc>
          <w:tcPr>
            <w:tcW w:w="1838" w:type="dxa"/>
            <w:shd w:val="clear" w:color="auto" w:fill="0AD995"/>
            <w:vAlign w:val="center"/>
          </w:tcPr>
          <w:p w14:paraId="55BA592A" w14:textId="44FC1C39" w:rsidR="0006431E" w:rsidRDefault="00000000">
            <w:pPr>
              <w:pStyle w:val="P68B1DB1-Navaden2"/>
            </w:pPr>
            <w:r>
              <w:t>Índice (3 niveles: Módulo-Unidad-Sección)</w:t>
            </w:r>
          </w:p>
        </w:tc>
        <w:tc>
          <w:tcPr>
            <w:tcW w:w="7505" w:type="dxa"/>
            <w:gridSpan w:val="4"/>
            <w:vAlign w:val="center"/>
          </w:tcPr>
          <w:p w14:paraId="71E7D38D" w14:textId="7F90BD8A" w:rsidR="0006431E" w:rsidRDefault="00000000">
            <w:pPr>
              <w:pStyle w:val="P68B1DB1-Navaden2"/>
            </w:pPr>
            <w:r>
              <w:t>Módulo: Gestión financiera digital</w:t>
            </w:r>
          </w:p>
          <w:p w14:paraId="3C25893A" w14:textId="77777777" w:rsidR="0006431E" w:rsidRDefault="0006431E">
            <w:pPr>
              <w:rPr>
                <w:b/>
                <w:color w:val="1B193E"/>
                <w:sz w:val="24"/>
              </w:rPr>
            </w:pPr>
          </w:p>
          <w:p w14:paraId="7EF620AB" w14:textId="63C64888" w:rsidR="0006431E" w:rsidRDefault="00000000">
            <w:pPr>
              <w:pStyle w:val="P68B1DB1-Navaden3"/>
            </w:pPr>
            <w:r>
              <w:rPr>
                <w:b/>
              </w:rPr>
              <w:t>Unidad 1</w:t>
            </w:r>
            <w:r>
              <w:t>: Introducción a la Gestión Financiera Digital</w:t>
            </w:r>
          </w:p>
          <w:p w14:paraId="1FFE13FE" w14:textId="61452240" w:rsidR="0006431E" w:rsidRDefault="00000000">
            <w:pPr>
              <w:pStyle w:val="P68B1DB1-Navaden3"/>
            </w:pPr>
            <w:r>
              <w:t>Sección 1.1. Visión general de la gestión financiera digital</w:t>
            </w:r>
          </w:p>
          <w:p w14:paraId="0346A81D" w14:textId="105955F0" w:rsidR="0006431E" w:rsidRDefault="00000000">
            <w:pPr>
              <w:pStyle w:val="P68B1DB1-Navaden3"/>
            </w:pPr>
            <w:r>
              <w:t>Sección 1.2. Beneficios de la gestión financiera digital</w:t>
            </w:r>
          </w:p>
          <w:p w14:paraId="6A81A417" w14:textId="0F2F1AC1" w:rsidR="0006431E" w:rsidRDefault="00000000">
            <w:pPr>
              <w:pStyle w:val="P68B1DB1-Navaden3"/>
            </w:pPr>
            <w:r>
              <w:t>Sección 1.3 Desafíos y riesgos</w:t>
            </w:r>
          </w:p>
          <w:p w14:paraId="4E374E57" w14:textId="2AF6F60A" w:rsidR="0006431E" w:rsidRDefault="00000000">
            <w:pPr>
              <w:pStyle w:val="P68B1DB1-Navaden3"/>
            </w:pPr>
            <w:r>
              <w:t>Sección 1.4 Transformación digital de las finanzas</w:t>
            </w:r>
          </w:p>
          <w:p w14:paraId="4A53385E" w14:textId="77777777" w:rsidR="0006431E" w:rsidRDefault="0006431E">
            <w:pPr>
              <w:rPr>
                <w:color w:val="1B193E"/>
                <w:sz w:val="24"/>
              </w:rPr>
            </w:pPr>
          </w:p>
          <w:p w14:paraId="48AC2445" w14:textId="5201BCD1" w:rsidR="0006431E" w:rsidRDefault="00000000">
            <w:pPr>
              <w:pStyle w:val="P68B1DB1-Navaden3"/>
            </w:pPr>
            <w:r>
              <w:rPr>
                <w:b/>
              </w:rPr>
              <w:t>Unidad 2</w:t>
            </w:r>
            <w:r>
              <w:t>: Sistemas de Banca Digital y Pago</w:t>
            </w:r>
          </w:p>
          <w:p w14:paraId="0EF84CB4" w14:textId="482A467B" w:rsidR="0006431E" w:rsidRDefault="00000000">
            <w:pPr>
              <w:pStyle w:val="P68B1DB1-Navaden3"/>
            </w:pPr>
            <w:r>
              <w:t>Sección 2.1. Servicios de Banca en Línea</w:t>
            </w:r>
          </w:p>
          <w:p w14:paraId="60D501F2" w14:textId="29A2EB35" w:rsidR="0006431E" w:rsidRDefault="00000000">
            <w:pPr>
              <w:pStyle w:val="P68B1DB1-Navaden3"/>
            </w:pPr>
            <w:r>
              <w:t>Sección 2.2. Aplicaciones de Banca Móvil</w:t>
            </w:r>
          </w:p>
          <w:p w14:paraId="5135D9EA" w14:textId="3D9CFA52" w:rsidR="0006431E" w:rsidRDefault="00000000">
            <w:pPr>
              <w:pStyle w:val="P68B1DB1-Navaden3"/>
            </w:pPr>
            <w:r>
              <w:t>Sección 2.3 Sistemas de pago digital</w:t>
            </w:r>
          </w:p>
          <w:p w14:paraId="3C5CA06D" w14:textId="5ADB4A56" w:rsidR="0006431E" w:rsidRDefault="00000000">
            <w:pPr>
              <w:pStyle w:val="P68B1DB1-Navaden3"/>
            </w:pPr>
            <w:r>
              <w:t>Sección 2.4 Medidas de seguridad en la banca digital</w:t>
            </w:r>
          </w:p>
          <w:p w14:paraId="0A0FE4F6" w14:textId="77777777" w:rsidR="0006431E" w:rsidRDefault="0006431E">
            <w:pPr>
              <w:rPr>
                <w:color w:val="1B193E"/>
                <w:sz w:val="24"/>
              </w:rPr>
            </w:pPr>
          </w:p>
          <w:p w14:paraId="48835AD3" w14:textId="40822A35" w:rsidR="0006431E" w:rsidRDefault="00000000">
            <w:pPr>
              <w:pStyle w:val="P68B1DB1-Navaden3"/>
            </w:pPr>
            <w:r>
              <w:rPr>
                <w:b/>
              </w:rPr>
              <w:t>Unidad 3</w:t>
            </w:r>
            <w:r>
              <w:t>: Herramientas de presupuesto y seguimiento de gastos</w:t>
            </w:r>
          </w:p>
          <w:p w14:paraId="724039B3" w14:textId="40A20A36" w:rsidR="0006431E" w:rsidRDefault="00000000">
            <w:pPr>
              <w:pStyle w:val="P68B1DB1-Navaden3"/>
            </w:pPr>
            <w:r>
              <w:t>Sección 3.1. Introducción a la presupuestación digital</w:t>
            </w:r>
          </w:p>
          <w:p w14:paraId="7AD890A1" w14:textId="671AAF8F" w:rsidR="0006431E" w:rsidRDefault="00000000">
            <w:pPr>
              <w:pStyle w:val="P68B1DB1-Navaden3"/>
            </w:pPr>
            <w:r>
              <w:t>Sección 3.2. Aplicaciones de seguimiento de gastos</w:t>
            </w:r>
          </w:p>
          <w:p w14:paraId="48B08221" w14:textId="1D2AADA0" w:rsidR="0006431E" w:rsidRDefault="00000000">
            <w:pPr>
              <w:pStyle w:val="P68B1DB1-Navaden3"/>
            </w:pPr>
            <w:r>
              <w:t>Sección 3.3 Software de gestión de finanzas personales</w:t>
            </w:r>
          </w:p>
          <w:p w14:paraId="6864A551" w14:textId="53427022" w:rsidR="0006431E" w:rsidRDefault="00000000">
            <w:pPr>
              <w:pStyle w:val="P68B1DB1-Navaden3"/>
            </w:pPr>
            <w:r>
              <w:t>Sección 3.4 Automatización de presupuestos y seguimiento de gastos</w:t>
            </w:r>
          </w:p>
          <w:p w14:paraId="68FB7E71" w14:textId="4ED5D555" w:rsidR="0006431E" w:rsidRDefault="0006431E">
            <w:pPr>
              <w:rPr>
                <w:color w:val="1B193E"/>
                <w:sz w:val="24"/>
              </w:rPr>
            </w:pPr>
          </w:p>
        </w:tc>
      </w:tr>
      <w:tr w:rsidR="0006431E" w14:paraId="730685DE" w14:textId="77777777">
        <w:trPr>
          <w:trHeight w:val="425"/>
          <w:jc w:val="center"/>
        </w:trPr>
        <w:tc>
          <w:tcPr>
            <w:tcW w:w="1838" w:type="dxa"/>
            <w:shd w:val="clear" w:color="auto" w:fill="0AD995"/>
            <w:vAlign w:val="center"/>
          </w:tcPr>
          <w:p w14:paraId="2E9E9E9D" w14:textId="5E7D954C" w:rsidR="0006431E" w:rsidRDefault="00000000">
            <w:pPr>
              <w:pStyle w:val="P68B1DB1-Navaden2"/>
            </w:pPr>
            <w:r>
              <w:t>Contenido desarrollado</w:t>
            </w:r>
          </w:p>
        </w:tc>
        <w:tc>
          <w:tcPr>
            <w:tcW w:w="7505" w:type="dxa"/>
            <w:gridSpan w:val="4"/>
            <w:vAlign w:val="center"/>
          </w:tcPr>
          <w:p w14:paraId="487C55BE" w14:textId="77777777" w:rsidR="0006431E" w:rsidRDefault="00000000">
            <w:pPr>
              <w:pStyle w:val="P68B1DB1-Navaden2"/>
            </w:pPr>
            <w:r>
              <w:t>Módulo: Gestión financiera digital</w:t>
            </w:r>
          </w:p>
          <w:p w14:paraId="47B4A280" w14:textId="77777777" w:rsidR="0006431E" w:rsidRDefault="0006431E">
            <w:pPr>
              <w:rPr>
                <w:color w:val="1B193E"/>
                <w:sz w:val="24"/>
              </w:rPr>
            </w:pPr>
          </w:p>
          <w:p w14:paraId="64F22ACB" w14:textId="3675290D" w:rsidR="0006431E" w:rsidRDefault="00000000">
            <w:pPr>
              <w:pStyle w:val="P68B1DB1-Navaden3"/>
            </w:pPr>
            <w:r>
              <w:rPr>
                <w:b/>
              </w:rPr>
              <w:t>Unidad 1:</w:t>
            </w:r>
            <w:r>
              <w:t xml:space="preserve"> Introducción a la Gestión Financiera Digital</w:t>
            </w:r>
          </w:p>
          <w:p w14:paraId="3960A69B" w14:textId="77777777" w:rsidR="0006431E" w:rsidRDefault="00000000">
            <w:pPr>
              <w:pStyle w:val="P68B1DB1-Navaden3"/>
            </w:pPr>
            <w:r>
              <w:rPr>
                <w:b/>
              </w:rPr>
              <w:t>Sección 1.1.</w:t>
            </w:r>
            <w:r>
              <w:t xml:space="preserve"> En esta sección, los participantes obtendrán información sobre el concepto de gestión financiera digital y su relevancia en la era digital. El contenido cubrirá los principios y objetivos clave de la gestión financiera digital.</w:t>
            </w:r>
          </w:p>
          <w:p w14:paraId="3EF222EA" w14:textId="77777777" w:rsidR="0006431E" w:rsidRDefault="0006431E">
            <w:pPr>
              <w:rPr>
                <w:color w:val="1B193E"/>
                <w:sz w:val="24"/>
              </w:rPr>
            </w:pPr>
          </w:p>
          <w:p w14:paraId="4BE4619F" w14:textId="77777777" w:rsidR="0006431E" w:rsidRDefault="00000000">
            <w:pPr>
              <w:pStyle w:val="P68B1DB1-Navaden3"/>
            </w:pPr>
            <w:r>
              <w:rPr>
                <w:b/>
              </w:rPr>
              <w:t>Sección 1.2.</w:t>
            </w:r>
            <w:r>
              <w:t xml:space="preserve"> Beneficios de la Gestión Financiera Digital Explore las ventajas que ofrecen las herramientas y tecnologías digitales en la gestión financiera. Discuta cómo el aumento de la conveniencia, la eficiencia y la accesibilidad contribuyen a los beneficios generales de adoptar prácticas de gestión financiera digital.</w:t>
            </w:r>
          </w:p>
          <w:p w14:paraId="1F3B3D01" w14:textId="77777777" w:rsidR="0006431E" w:rsidRDefault="0006431E">
            <w:pPr>
              <w:rPr>
                <w:color w:val="1B193E"/>
                <w:sz w:val="24"/>
              </w:rPr>
            </w:pPr>
          </w:p>
          <w:p w14:paraId="1381FE63" w14:textId="77777777" w:rsidR="0006431E" w:rsidRDefault="00000000">
            <w:pPr>
              <w:pStyle w:val="P68B1DB1-Navaden3"/>
            </w:pPr>
            <w:r>
              <w:rPr>
                <w:b/>
              </w:rPr>
              <w:t>Sección 1.3.</w:t>
            </w:r>
            <w:r>
              <w:t xml:space="preserve"> Adéntrate en los retos y riesgos potenciales asociados a la gestión financiera digital. Los temas incluirán las preocupaciones de </w:t>
            </w:r>
            <w:r>
              <w:lastRenderedPageBreak/>
              <w:t>seguridad, la privacidad de los datos y la necesidad de medidas de ciberseguridad adecuadas en el panorama financiero digital.</w:t>
            </w:r>
          </w:p>
          <w:p w14:paraId="1C577B3F" w14:textId="77777777" w:rsidR="0006431E" w:rsidRDefault="0006431E">
            <w:pPr>
              <w:rPr>
                <w:color w:val="1B193E"/>
                <w:sz w:val="24"/>
              </w:rPr>
            </w:pPr>
          </w:p>
          <w:p w14:paraId="7D08C579" w14:textId="77777777" w:rsidR="0006431E" w:rsidRDefault="00000000">
            <w:pPr>
              <w:pStyle w:val="P68B1DB1-Navaden3"/>
            </w:pPr>
            <w:r>
              <w:rPr>
                <w:b/>
              </w:rPr>
              <w:t>Sección 1.4.</w:t>
            </w:r>
            <w:r>
              <w:t xml:space="preserve"> Proporciona información sobre cómo la digitalización ha transformado varios aspectos de las finanzas, desde la banca y los pagos hasta la inversión y la planificación financiera. Explore el impacto de la transformación digital en las prácticas financieras tradicionales.</w:t>
            </w:r>
          </w:p>
          <w:p w14:paraId="5666EF2E" w14:textId="77777777" w:rsidR="0006431E" w:rsidRDefault="0006431E">
            <w:pPr>
              <w:rPr>
                <w:color w:val="1B193E"/>
                <w:sz w:val="24"/>
              </w:rPr>
            </w:pPr>
          </w:p>
          <w:p w14:paraId="548CA4EC" w14:textId="77777777" w:rsidR="0006431E" w:rsidRDefault="00000000">
            <w:pPr>
              <w:pStyle w:val="P68B1DB1-Navaden3"/>
            </w:pPr>
            <w:r>
              <w:rPr>
                <w:b/>
              </w:rPr>
              <w:t>Unidad 2:</w:t>
            </w:r>
            <w:r>
              <w:t xml:space="preserve"> </w:t>
            </w:r>
            <w:r>
              <w:rPr>
                <w:b/>
              </w:rPr>
              <w:t>Sistemas de Banca Digital y Pago</w:t>
            </w:r>
          </w:p>
          <w:p w14:paraId="329FD637" w14:textId="77777777" w:rsidR="0006431E" w:rsidRDefault="00000000">
            <w:pPr>
              <w:pStyle w:val="P68B1DB1-Navaden3"/>
            </w:pPr>
            <w:r>
              <w:rPr>
                <w:b/>
              </w:rPr>
              <w:t>Sección 2.1.</w:t>
            </w:r>
            <w:r>
              <w:t xml:space="preserve"> Los participantes en los servicios bancarios en línea serán introducidos en las plataformas de banca en línea, entendiendo sus características y funcionalidades. La sección cubrirá cómo la banca en línea permite a los usuarios realizar varias transacciones, como verificar saldos, transferir fondos y pagar facturas convenientemente.</w:t>
            </w:r>
          </w:p>
          <w:p w14:paraId="0913B9E0" w14:textId="77777777" w:rsidR="0006431E" w:rsidRDefault="0006431E">
            <w:pPr>
              <w:rPr>
                <w:color w:val="1B193E"/>
                <w:sz w:val="24"/>
              </w:rPr>
            </w:pPr>
          </w:p>
          <w:p w14:paraId="38E9C5B6" w14:textId="77777777" w:rsidR="0006431E" w:rsidRDefault="00000000">
            <w:pPr>
              <w:pStyle w:val="P68B1DB1-Navaden3"/>
            </w:pPr>
            <w:r>
              <w:rPr>
                <w:b/>
              </w:rPr>
              <w:t>Sección 2.2.</w:t>
            </w:r>
            <w:r>
              <w:t xml:space="preserve"> Adéntrate en el mundo de las aplicaciones de banca móvil, explorando sus funcionalidades y cómo proporcionan a los usuarios acceso a sus cuentas sobre la marcha. Discuta características como la revisión del historial de transacciones y los depósitos de cheques móviles que mejoran la experiencia de la banca móvil.</w:t>
            </w:r>
          </w:p>
          <w:p w14:paraId="0141385E" w14:textId="77777777" w:rsidR="0006431E" w:rsidRDefault="0006431E">
            <w:pPr>
              <w:rPr>
                <w:color w:val="1B193E"/>
                <w:sz w:val="24"/>
              </w:rPr>
            </w:pPr>
          </w:p>
          <w:p w14:paraId="7B52A6C3" w14:textId="77777777" w:rsidR="0006431E" w:rsidRDefault="00000000">
            <w:pPr>
              <w:pStyle w:val="P68B1DB1-Navaden3"/>
            </w:pPr>
            <w:r>
              <w:rPr>
                <w:b/>
              </w:rPr>
              <w:t>Sección 2.3.</w:t>
            </w:r>
            <w:r>
              <w:t xml:space="preserve"> Explora diferentes métodos de pago digitales, incluyendo monederos electrónicos, aplicaciones de pago móvil y plataformas de pago peer-to-peer. Discutir cómo estos sistemas simplifican las transacciones y contribuyen a la evolución de los pagos digitales.</w:t>
            </w:r>
          </w:p>
          <w:p w14:paraId="22171709" w14:textId="77777777" w:rsidR="0006431E" w:rsidRDefault="0006431E">
            <w:pPr>
              <w:rPr>
                <w:color w:val="1B193E"/>
                <w:sz w:val="24"/>
              </w:rPr>
            </w:pPr>
          </w:p>
          <w:p w14:paraId="2CD48A44" w14:textId="77777777" w:rsidR="0006431E" w:rsidRDefault="00000000">
            <w:pPr>
              <w:pStyle w:val="P68B1DB1-Navaden3"/>
            </w:pPr>
            <w:r>
              <w:rPr>
                <w:b/>
              </w:rPr>
              <w:t>Sección 2.4.</w:t>
            </w:r>
            <w:r>
              <w:t xml:space="preserve"> Las medidas de seguridad en la banca digital destacan las medidas de seguridad aplicadas por las instituciones financieras para salvaguardar los datos financieros de los usuarios en entornos bancarios digitales. Discuta el cifrado, la autenticación multifactorial y los sistemas de detección de fraudes.</w:t>
            </w:r>
          </w:p>
          <w:p w14:paraId="127B56F8" w14:textId="77777777" w:rsidR="0006431E" w:rsidRDefault="0006431E">
            <w:pPr>
              <w:rPr>
                <w:color w:val="1B193E"/>
                <w:sz w:val="24"/>
              </w:rPr>
            </w:pPr>
          </w:p>
          <w:p w14:paraId="70C91D41" w14:textId="77777777" w:rsidR="0006431E" w:rsidRDefault="00000000">
            <w:pPr>
              <w:pStyle w:val="P68B1DB1-Navaden3"/>
            </w:pPr>
            <w:r>
              <w:rPr>
                <w:b/>
              </w:rPr>
              <w:t>Unidad 3:</w:t>
            </w:r>
            <w:r>
              <w:t xml:space="preserve"> </w:t>
            </w:r>
            <w:r>
              <w:rPr>
                <w:b/>
              </w:rPr>
              <w:t>Herramientas de presupuesto y seguimiento de gastos</w:t>
            </w:r>
          </w:p>
          <w:p w14:paraId="6E743C8C" w14:textId="77777777" w:rsidR="0006431E" w:rsidRDefault="00000000">
            <w:pPr>
              <w:pStyle w:val="P68B1DB1-Navaden3"/>
            </w:pPr>
            <w:r>
              <w:rPr>
                <w:b/>
              </w:rPr>
              <w:t>Sección 3.1.</w:t>
            </w:r>
            <w:r>
              <w:t xml:space="preserve"> Introducción a la presupuestación digital Esta sección cubrirá el concepto fundamental de presupuestación y su importancia en la gestión financiera. Los participantes también se presentarán a las herramientas y aplicaciones digitales que ayudan a crear y gestionar los presupuestos de manera efectiva.</w:t>
            </w:r>
          </w:p>
          <w:p w14:paraId="5A3CB209" w14:textId="77777777" w:rsidR="0006431E" w:rsidRDefault="0006431E">
            <w:pPr>
              <w:rPr>
                <w:color w:val="1B193E"/>
                <w:sz w:val="24"/>
              </w:rPr>
            </w:pPr>
          </w:p>
          <w:p w14:paraId="7C43C376" w14:textId="77777777" w:rsidR="0006431E" w:rsidRDefault="00000000">
            <w:pPr>
              <w:pStyle w:val="P68B1DB1-Navaden3"/>
            </w:pPr>
            <w:r>
              <w:rPr>
                <w:b/>
              </w:rPr>
              <w:t>Sección 3.2.</w:t>
            </w:r>
            <w:r>
              <w:t xml:space="preserve"> Explora las características y beneficios de las aplicaciones de seguimiento de gastos, enfatizando su papel en ayudar a individuos y empresas a monitorear los gastos, categorizar los gastos y obtener información sobre los hábitos financieros. Se proporcionarán ejemplos prácticos y demostraciones.</w:t>
            </w:r>
          </w:p>
          <w:p w14:paraId="040DD3A1" w14:textId="77777777" w:rsidR="0006431E" w:rsidRDefault="0006431E">
            <w:pPr>
              <w:rPr>
                <w:color w:val="1B193E"/>
                <w:sz w:val="24"/>
              </w:rPr>
            </w:pPr>
          </w:p>
          <w:p w14:paraId="4EAE88C4" w14:textId="77777777" w:rsidR="0006431E" w:rsidRDefault="00000000">
            <w:pPr>
              <w:pStyle w:val="P68B1DB1-Navaden3"/>
            </w:pPr>
            <w:r>
              <w:rPr>
                <w:b/>
              </w:rPr>
              <w:t>Sección 3.3.</w:t>
            </w:r>
            <w:r>
              <w:t xml:space="preserve"> Los participantes en el software de gestión de finanzas personales serán guiados a través de las características y capacidades del software de gestión de finanzas personales. El contenido destacará cómo dicho software empodera a los usuarios con funciones integrales de seguimiento financiero, presupuestación y fijación de objetivos.</w:t>
            </w:r>
          </w:p>
          <w:p w14:paraId="1B51422E" w14:textId="77777777" w:rsidR="0006431E" w:rsidRDefault="0006431E">
            <w:pPr>
              <w:rPr>
                <w:color w:val="1B193E"/>
                <w:sz w:val="24"/>
              </w:rPr>
            </w:pPr>
          </w:p>
          <w:p w14:paraId="18C1ADA2" w14:textId="77777777" w:rsidR="0006431E" w:rsidRDefault="00000000">
            <w:pPr>
              <w:pStyle w:val="P68B1DB1-Navaden3"/>
            </w:pPr>
            <w:r>
              <w:rPr>
                <w:b/>
              </w:rPr>
              <w:t>Sección 3.4.</w:t>
            </w:r>
            <w:r>
              <w:t xml:space="preserve"> Automatización de Presupuestos y Seguimiento de Gastos Discute los beneficios de automatizar los procesos de presupuesto y seguimiento de gastos. Explore herramientas e integraciones que optimizan el presupuesto, categorizan automáticamente los gastos y proporcionan actualizaciones en tiempo real mediante la integración con cuentas bancarias y tarjetas de crédito.</w:t>
            </w:r>
          </w:p>
          <w:p w14:paraId="1637BAD0" w14:textId="2EFA6BCB" w:rsidR="0006431E" w:rsidRDefault="0006431E">
            <w:pPr>
              <w:rPr>
                <w:color w:val="1B193E"/>
                <w:sz w:val="24"/>
              </w:rPr>
            </w:pPr>
          </w:p>
        </w:tc>
      </w:tr>
      <w:tr w:rsidR="0006431E" w14:paraId="227B0D48" w14:textId="77777777">
        <w:trPr>
          <w:trHeight w:val="425"/>
          <w:jc w:val="center"/>
        </w:trPr>
        <w:tc>
          <w:tcPr>
            <w:tcW w:w="1838" w:type="dxa"/>
            <w:shd w:val="clear" w:color="auto" w:fill="0AD995"/>
            <w:vAlign w:val="center"/>
          </w:tcPr>
          <w:p w14:paraId="3FCD629A" w14:textId="380A4651" w:rsidR="0006431E" w:rsidRDefault="00000000">
            <w:pPr>
              <w:pStyle w:val="P68B1DB1-Navaden2"/>
            </w:pPr>
            <w:r>
              <w:lastRenderedPageBreak/>
              <w:t>5 entradas del glosario</w:t>
            </w:r>
          </w:p>
        </w:tc>
        <w:tc>
          <w:tcPr>
            <w:tcW w:w="7505" w:type="dxa"/>
            <w:gridSpan w:val="4"/>
            <w:vAlign w:val="center"/>
          </w:tcPr>
          <w:p w14:paraId="4604B269" w14:textId="65FCB99F" w:rsidR="0006431E" w:rsidRDefault="00000000">
            <w:pPr>
              <w:pStyle w:val="P68B1DB1-Navaden3"/>
            </w:pPr>
            <w:r>
              <w:rPr>
                <w:b/>
              </w:rPr>
              <w:t>Gestión financiera digital</w:t>
            </w:r>
            <w:r>
              <w:t>: La práctica de utilizar herramientas y tecnologías digitales para planificar, rastrear y gestionar eficazmente las actividades financieras. Esto incluye actividades como la presupuestación, el seguimiento de gastos y la utilización de sistemas de banca y pago en línea para mejorar el control financiero y la eficiencia.</w:t>
            </w:r>
          </w:p>
          <w:p w14:paraId="657A22B4" w14:textId="77777777" w:rsidR="0006431E" w:rsidRDefault="0006431E">
            <w:pPr>
              <w:rPr>
                <w:color w:val="1B193E"/>
                <w:sz w:val="24"/>
              </w:rPr>
            </w:pPr>
          </w:p>
          <w:p w14:paraId="30D11381" w14:textId="19A26E8C" w:rsidR="0006431E" w:rsidRDefault="00000000">
            <w:pPr>
              <w:pStyle w:val="P68B1DB1-Navaden3"/>
            </w:pPr>
            <w:r>
              <w:rPr>
                <w:b/>
              </w:rPr>
              <w:t>Medidas de ciberseguridad</w:t>
            </w:r>
            <w:r>
              <w:t>: Protocolos y prácticas de seguridad implementados para proteger los sistemas financieros digitales y la información contra el acceso no autorizado, los ciberataques y las violaciones de datos. Las medidas de ciberseguridad incluyen encriptación, autenticación multifactorial y sistemas robustos de detección de fraude.</w:t>
            </w:r>
          </w:p>
          <w:p w14:paraId="08CDB677" w14:textId="188E5360" w:rsidR="0006431E" w:rsidRDefault="00000000">
            <w:pPr>
              <w:pStyle w:val="P68B1DB1-Navaden3"/>
            </w:pPr>
            <w:r>
              <w:rPr>
                <w:b/>
              </w:rPr>
              <w:t>E-Wallets</w:t>
            </w:r>
            <w:r>
              <w:t>: Billeteras electrónicas o billeteras digitales que almacenan representaciones digitales de moneda, lo que permite a los usuarios realizar transacciones electrónicas de forma segura. Los monederos electrónicos a menudo admiten varios métodos de pago y se utilizan comúnmente para compras en línea y pagos móviles.</w:t>
            </w:r>
          </w:p>
          <w:p w14:paraId="5EA8D95C" w14:textId="77777777" w:rsidR="0006431E" w:rsidRDefault="0006431E">
            <w:pPr>
              <w:rPr>
                <w:color w:val="1B193E"/>
                <w:sz w:val="24"/>
              </w:rPr>
            </w:pPr>
          </w:p>
          <w:p w14:paraId="25A17F1D" w14:textId="4432553A" w:rsidR="0006431E" w:rsidRDefault="00000000">
            <w:pPr>
              <w:pStyle w:val="P68B1DB1-Navaden3"/>
            </w:pPr>
            <w:r>
              <w:rPr>
                <w:b/>
              </w:rPr>
              <w:t>Aplicaciones de Banca Móvil</w:t>
            </w:r>
            <w:r>
              <w:t>: Aplicaciones diseñadas para dispositivos móviles que proporcionan a los usuarios acceso a servicios y características bancarias. Estas aplicaciones permiten a los usuarios realizar transacciones, verificar los saldos de cuentas y administrar las finanzas convenientemente utilizando sus teléfonos inteligentes o tabletas.</w:t>
            </w:r>
          </w:p>
          <w:p w14:paraId="64FFE980" w14:textId="77777777" w:rsidR="0006431E" w:rsidRDefault="0006431E">
            <w:pPr>
              <w:rPr>
                <w:color w:val="1B193E"/>
                <w:sz w:val="24"/>
              </w:rPr>
            </w:pPr>
          </w:p>
          <w:p w14:paraId="454C7D98" w14:textId="608C68B9" w:rsidR="0006431E" w:rsidRDefault="00000000">
            <w:pPr>
              <w:pStyle w:val="P68B1DB1-Navaden3"/>
            </w:pPr>
            <w:r w:rsidRPr="00BF3A5F">
              <w:rPr>
                <w:b/>
                <w:bCs/>
              </w:rPr>
              <w:t>Aplicaciones</w:t>
            </w:r>
            <w:r w:rsidR="00BF3A5F">
              <w:t xml:space="preserve"> </w:t>
            </w:r>
            <w:r>
              <w:rPr>
                <w:b/>
              </w:rPr>
              <w:t xml:space="preserve">de seguimiento de gastos: </w:t>
            </w:r>
            <w:r>
              <w:t>Aplicaciones de software diseñadas para ayudar a individuos y empresas a monitorear y categorizar sus gastos. Las aplicaciones de seguimiento de gastos proporcionan características como actualizaciones de gastos en tiempo real, seguimiento del presupuesto e información sobre los patrones de gasto para promover la conciencia financiera y la disciplina.</w:t>
            </w:r>
          </w:p>
        </w:tc>
      </w:tr>
      <w:tr w:rsidR="0006431E" w14:paraId="21706ED6" w14:textId="77777777">
        <w:trPr>
          <w:trHeight w:val="425"/>
          <w:jc w:val="center"/>
        </w:trPr>
        <w:tc>
          <w:tcPr>
            <w:tcW w:w="1838" w:type="dxa"/>
            <w:shd w:val="clear" w:color="auto" w:fill="0AD995"/>
            <w:vAlign w:val="center"/>
          </w:tcPr>
          <w:p w14:paraId="6C087FC5" w14:textId="3534C899" w:rsidR="0006431E" w:rsidRDefault="00000000">
            <w:pPr>
              <w:pStyle w:val="P68B1DB1-Navaden2"/>
            </w:pPr>
            <w:r>
              <w:lastRenderedPageBreak/>
              <w:t>5 preguntas de autoevaluación de opción múltiple</w:t>
            </w:r>
          </w:p>
        </w:tc>
        <w:tc>
          <w:tcPr>
            <w:tcW w:w="7505" w:type="dxa"/>
            <w:gridSpan w:val="4"/>
            <w:vAlign w:val="center"/>
          </w:tcPr>
          <w:p w14:paraId="44867812" w14:textId="670AA44E" w:rsidR="0006431E" w:rsidRDefault="00BF3A5F">
            <w:pPr>
              <w:pStyle w:val="P68B1DB1-Navaden2"/>
            </w:pPr>
            <w:r>
              <w:t>Pregunta 1</w:t>
            </w:r>
            <w:r w:rsidR="00000000">
              <w:t>: ¿Cuál es el enfoque principal de la Unidad 2, Sección 2.2 en el módulo «Gestión Financiera Digital»?</w:t>
            </w:r>
          </w:p>
          <w:p w14:paraId="53A1674E" w14:textId="77777777" w:rsidR="0006431E" w:rsidRDefault="0006431E">
            <w:pPr>
              <w:rPr>
                <w:b/>
                <w:color w:val="1B193E"/>
                <w:sz w:val="24"/>
              </w:rPr>
            </w:pPr>
          </w:p>
          <w:p w14:paraId="75B91FF4" w14:textId="50BFC5F6" w:rsidR="0006431E" w:rsidRDefault="00000000">
            <w:pPr>
              <w:pStyle w:val="P68B1DB1-Navaden3"/>
            </w:pPr>
            <w:r>
              <w:t>Opción a: Explorar los sistemas de pago digital</w:t>
            </w:r>
            <w:r>
              <w:br/>
              <w:t xml:space="preserve">Opción b: Introducción de servicios bancarios en línea </w:t>
            </w:r>
            <w:r>
              <w:br/>
              <w:t xml:space="preserve">Opción c: Discutir las aplicaciones de banca móvil </w:t>
            </w:r>
            <w:r>
              <w:br/>
              <w:t xml:space="preserve">Opción d: Destacando las medidas de seguridad en la banca digital </w:t>
            </w:r>
            <w:r>
              <w:br/>
              <w:t>Opción correcta: C</w:t>
            </w:r>
          </w:p>
          <w:p w14:paraId="4321D250" w14:textId="77777777" w:rsidR="0006431E" w:rsidRDefault="0006431E">
            <w:pPr>
              <w:rPr>
                <w:color w:val="1B193E"/>
                <w:sz w:val="24"/>
              </w:rPr>
            </w:pPr>
          </w:p>
          <w:p w14:paraId="5A0BD68A" w14:textId="5B25B481" w:rsidR="0006431E" w:rsidRDefault="00BF3A5F">
            <w:pPr>
              <w:pStyle w:val="P68B1DB1-Navaden2"/>
            </w:pPr>
            <w:r>
              <w:t>Pregunta 2</w:t>
            </w:r>
            <w:r w:rsidR="00000000">
              <w:t>: En el contexto de la gestión financiera digital, ¿cuál es el propósito de las aplicaciones de seguimiento de gastos?</w:t>
            </w:r>
          </w:p>
          <w:p w14:paraId="7EED0B73" w14:textId="77777777" w:rsidR="0006431E" w:rsidRDefault="0006431E">
            <w:pPr>
              <w:rPr>
                <w:b/>
                <w:color w:val="1B193E"/>
                <w:sz w:val="24"/>
              </w:rPr>
            </w:pPr>
          </w:p>
          <w:p w14:paraId="13325290" w14:textId="77777777" w:rsidR="0006431E" w:rsidRDefault="00000000">
            <w:pPr>
              <w:pStyle w:val="P68B1DB1-Navaden3"/>
            </w:pPr>
            <w:r>
              <w:t>Opción a: Mejora de las medidas de ciberseguridad</w:t>
            </w:r>
            <w:r>
              <w:br/>
              <w:t xml:space="preserve">Opción b: Seguimiento y categorización del gasto </w:t>
            </w:r>
            <w:r>
              <w:br/>
              <w:t xml:space="preserve">Opción c: Explorar métodos de pago digitales </w:t>
            </w:r>
            <w:r>
              <w:br/>
              <w:t xml:space="preserve">Opción d: Discutir los beneficios del software de gestión de finanzas personales </w:t>
            </w:r>
            <w:r>
              <w:br/>
              <w:t>Opción correcta: B</w:t>
            </w:r>
          </w:p>
          <w:p w14:paraId="4D975EAD" w14:textId="77777777" w:rsidR="0006431E" w:rsidRDefault="0006431E">
            <w:pPr>
              <w:rPr>
                <w:color w:val="1B193E"/>
                <w:sz w:val="24"/>
              </w:rPr>
            </w:pPr>
          </w:p>
          <w:p w14:paraId="0C961D68" w14:textId="7B43224B" w:rsidR="0006431E" w:rsidRDefault="00BF3A5F">
            <w:pPr>
              <w:pStyle w:val="P68B1DB1-Navaden2"/>
            </w:pPr>
            <w:r>
              <w:t>Pregunta 3</w:t>
            </w:r>
            <w:r w:rsidR="00000000">
              <w:t>: ¿Qué sección del módulo cubre los desafíos y riesgos asociados a la gestión financiera digital?</w:t>
            </w:r>
          </w:p>
          <w:p w14:paraId="072AD5C3" w14:textId="77777777" w:rsidR="0006431E" w:rsidRDefault="0006431E">
            <w:pPr>
              <w:rPr>
                <w:b/>
                <w:color w:val="1B193E"/>
                <w:sz w:val="24"/>
              </w:rPr>
            </w:pPr>
          </w:p>
          <w:p w14:paraId="75F2D002" w14:textId="77777777" w:rsidR="0006431E" w:rsidRDefault="00000000">
            <w:pPr>
              <w:pStyle w:val="P68B1DB1-Navaden3"/>
            </w:pPr>
            <w:r>
              <w:t>Opción a: Unidad 1, Sección 1.1</w:t>
            </w:r>
            <w:r>
              <w:br/>
              <w:t xml:space="preserve">Opción b: Unidad 1, Sección 1.2 </w:t>
            </w:r>
            <w:r>
              <w:br/>
              <w:t xml:space="preserve">Opción c: Unidad 1, Sección 1.3 </w:t>
            </w:r>
            <w:r>
              <w:br/>
              <w:t xml:space="preserve">Opción d: Unidad 1, Sección 1.4 </w:t>
            </w:r>
            <w:r>
              <w:br/>
              <w:t>Opción correcta: C</w:t>
            </w:r>
          </w:p>
          <w:p w14:paraId="5BD69E43" w14:textId="77777777" w:rsidR="0006431E" w:rsidRDefault="0006431E">
            <w:pPr>
              <w:rPr>
                <w:color w:val="1B193E"/>
                <w:sz w:val="24"/>
              </w:rPr>
            </w:pPr>
          </w:p>
          <w:p w14:paraId="7F22C386" w14:textId="77777777" w:rsidR="0006431E" w:rsidRDefault="00000000">
            <w:pPr>
              <w:pStyle w:val="P68B1DB1-Navaden2"/>
            </w:pPr>
            <w:r>
              <w:t>Pregunta 4: ¿Cuál es la característica clave discutida en la Unidad 3, Sección 3.4 — «Automatización de Presupuestos y Seguimiento de Gastos»?</w:t>
            </w:r>
          </w:p>
          <w:p w14:paraId="4AC8DCD6" w14:textId="77777777" w:rsidR="0006431E" w:rsidRDefault="0006431E">
            <w:pPr>
              <w:rPr>
                <w:b/>
                <w:color w:val="1B193E"/>
                <w:sz w:val="24"/>
              </w:rPr>
            </w:pPr>
          </w:p>
          <w:p w14:paraId="73B3F3F9" w14:textId="77777777" w:rsidR="0006431E" w:rsidRDefault="00000000">
            <w:pPr>
              <w:pStyle w:val="P68B1DB1-Navaden3"/>
            </w:pPr>
            <w:r>
              <w:t>Opción a: Explorar el software de gestión de finanzas personales</w:t>
            </w:r>
            <w:r>
              <w:br/>
              <w:t xml:space="preserve">Opción b: Introducción a la presupuestación digital </w:t>
            </w:r>
            <w:r>
              <w:br/>
              <w:t xml:space="preserve">Opción c: Beneficios de la gestión financiera digital </w:t>
            </w:r>
            <w:r>
              <w:br/>
              <w:t xml:space="preserve">Opción d: Herramientas e integraciones de automatización para agilizar los procesos de presupuestación </w:t>
            </w:r>
            <w:r>
              <w:br/>
              <w:t>Opción correcta: D</w:t>
            </w:r>
          </w:p>
          <w:p w14:paraId="4C1559B0" w14:textId="77777777" w:rsidR="0006431E" w:rsidRDefault="0006431E">
            <w:pPr>
              <w:rPr>
                <w:color w:val="1B193E"/>
                <w:sz w:val="24"/>
              </w:rPr>
            </w:pPr>
          </w:p>
          <w:p w14:paraId="59A380E1" w14:textId="77777777" w:rsidR="0006431E" w:rsidRDefault="00000000">
            <w:pPr>
              <w:pStyle w:val="P68B1DB1-Navaden2"/>
            </w:pPr>
            <w:r>
              <w:t>Pregunta 5: ¿Qué unidad del módulo explora diferentes métodos de pago digitales, incluyendo monederos electrónicos y aplicaciones de pago móvil?</w:t>
            </w:r>
          </w:p>
          <w:p w14:paraId="6217E5F5" w14:textId="77777777" w:rsidR="0006431E" w:rsidRDefault="0006431E">
            <w:pPr>
              <w:rPr>
                <w:b/>
                <w:color w:val="1B193E"/>
                <w:sz w:val="24"/>
              </w:rPr>
            </w:pPr>
          </w:p>
          <w:p w14:paraId="70942774" w14:textId="77777777" w:rsidR="0006431E" w:rsidRDefault="00000000">
            <w:pPr>
              <w:pStyle w:val="P68B1DB1-Navaden3"/>
            </w:pPr>
            <w:r>
              <w:lastRenderedPageBreak/>
              <w:t>Opción a: Unidad 1</w:t>
            </w:r>
            <w:r>
              <w:br/>
              <w:t xml:space="preserve">Opción b: Unidad 2 </w:t>
            </w:r>
            <w:r>
              <w:br/>
              <w:t xml:space="preserve">Opción c: Unidad 3 </w:t>
            </w:r>
            <w:r>
              <w:br/>
              <w:t xml:space="preserve">Opción d: Unidad 4 </w:t>
            </w:r>
            <w:r>
              <w:br/>
              <w:t>Opción correcta: B</w:t>
            </w:r>
          </w:p>
          <w:p w14:paraId="1339D0A8" w14:textId="6A895914" w:rsidR="0006431E" w:rsidRDefault="0006431E">
            <w:pPr>
              <w:rPr>
                <w:b/>
                <w:color w:val="1B193E"/>
                <w:sz w:val="24"/>
              </w:rPr>
            </w:pPr>
          </w:p>
          <w:p w14:paraId="1D1A9FC8" w14:textId="47A28984" w:rsidR="0006431E" w:rsidRDefault="0006431E">
            <w:pPr>
              <w:rPr>
                <w:b/>
                <w:color w:val="1B193E"/>
                <w:sz w:val="24"/>
              </w:rPr>
            </w:pPr>
          </w:p>
        </w:tc>
      </w:tr>
      <w:tr w:rsidR="0006431E" w14:paraId="5CE25506" w14:textId="77777777">
        <w:trPr>
          <w:trHeight w:val="425"/>
          <w:jc w:val="center"/>
        </w:trPr>
        <w:tc>
          <w:tcPr>
            <w:tcW w:w="1838" w:type="dxa"/>
            <w:shd w:val="clear" w:color="auto" w:fill="0AD995"/>
            <w:vAlign w:val="center"/>
          </w:tcPr>
          <w:p w14:paraId="0F36EEB1" w14:textId="13058045" w:rsidR="0006431E" w:rsidRDefault="00000000">
            <w:pPr>
              <w:pStyle w:val="P68B1DB1-Navaden2"/>
            </w:pPr>
            <w:r>
              <w:lastRenderedPageBreak/>
              <w:t>Bibliografía y otras referencias</w:t>
            </w:r>
          </w:p>
        </w:tc>
        <w:tc>
          <w:tcPr>
            <w:tcW w:w="7505" w:type="dxa"/>
            <w:gridSpan w:val="4"/>
            <w:vAlign w:val="center"/>
          </w:tcPr>
          <w:p w14:paraId="49A6DAF3" w14:textId="77777777" w:rsidR="0006431E" w:rsidRDefault="00000000">
            <w:pPr>
              <w:pStyle w:val="P68B1DB1-Navaden2"/>
              <w:numPr>
                <w:ilvl w:val="0"/>
                <w:numId w:val="4"/>
              </w:numPr>
            </w:pPr>
            <w:r>
              <w:t>Libros:</w:t>
            </w:r>
          </w:p>
          <w:p w14:paraId="212A6F26" w14:textId="77777777" w:rsidR="0006431E" w:rsidRDefault="00000000">
            <w:pPr>
              <w:pStyle w:val="P68B1DB1-Navaden3"/>
              <w:numPr>
                <w:ilvl w:val="1"/>
                <w:numId w:val="4"/>
              </w:numPr>
            </w:pPr>
            <w:r>
              <w:rPr>
                <w:i/>
              </w:rPr>
              <w:t>Servicios financieros digitales: Desafíos para el gobierno, los consumidores y las empresas</w:t>
            </w:r>
            <w:r>
              <w:t xml:space="preserve"> por Jim L. Borden y William R. Eadington</w:t>
            </w:r>
          </w:p>
          <w:p w14:paraId="73F6DA98" w14:textId="77777777" w:rsidR="0006431E" w:rsidRDefault="00000000">
            <w:pPr>
              <w:pStyle w:val="P68B1DB1-Navaden3"/>
              <w:numPr>
                <w:ilvl w:val="1"/>
                <w:numId w:val="4"/>
              </w:numPr>
            </w:pPr>
            <w:r>
              <w:t>Conceptos</w:t>
            </w:r>
            <w:r>
              <w:rPr>
                <w:i/>
              </w:rPr>
              <w:t>básicos de blockchain: Una introducción no técnica en 25 pasos</w:t>
            </w:r>
            <w:r>
              <w:t xml:space="preserve"> por Daniel Drescher</w:t>
            </w:r>
          </w:p>
          <w:p w14:paraId="602CF898" w14:textId="77777777" w:rsidR="0006431E" w:rsidRDefault="00000000">
            <w:pPr>
              <w:pStyle w:val="P68B1DB1-Navaden3"/>
              <w:numPr>
                <w:ilvl w:val="1"/>
                <w:numId w:val="4"/>
              </w:numPr>
            </w:pPr>
            <w:r>
              <w:rPr>
                <w:i/>
              </w:rPr>
              <w:t>El libro Fintech: El Manual de Tecnología Financiera para Inversores, Emprendedores y Visionarios de</w:t>
            </w:r>
            <w:r>
              <w:t xml:space="preserve"> Susanne Chishti y Janos Barberis</w:t>
            </w:r>
          </w:p>
          <w:p w14:paraId="3849D754" w14:textId="77777777" w:rsidR="0006431E" w:rsidRDefault="00000000">
            <w:pPr>
              <w:pStyle w:val="P68B1DB1-Navaden2"/>
              <w:numPr>
                <w:ilvl w:val="0"/>
                <w:numId w:val="4"/>
              </w:numPr>
            </w:pPr>
            <w:r>
              <w:t>Artículos:</w:t>
            </w:r>
          </w:p>
          <w:p w14:paraId="03D691E1" w14:textId="77777777" w:rsidR="0006431E" w:rsidRDefault="00000000">
            <w:pPr>
              <w:pStyle w:val="P68B1DB1-Navaden3"/>
              <w:numPr>
                <w:ilvl w:val="1"/>
                <w:numId w:val="4"/>
              </w:numPr>
            </w:pPr>
            <w:r>
              <w:t>«El futuro de la banca digital: Por qué la banca digital está aquí para quedarse" por Peter Wannemacher (Forrester Research)</w:t>
            </w:r>
          </w:p>
          <w:p w14:paraId="59A7087A" w14:textId="77777777" w:rsidR="0006431E" w:rsidRDefault="00000000">
            <w:pPr>
              <w:pStyle w:val="P68B1DB1-Navaden3"/>
              <w:numPr>
                <w:ilvl w:val="1"/>
                <w:numId w:val="4"/>
              </w:numPr>
            </w:pPr>
            <w:r>
              <w:t>«El ascenso de la banca móvil» de Madhvi Mavadiya (The Balance)</w:t>
            </w:r>
          </w:p>
          <w:p w14:paraId="77FD22CF" w14:textId="77777777" w:rsidR="0006431E" w:rsidRDefault="00000000">
            <w:pPr>
              <w:pStyle w:val="P68B1DB1-Navaden3"/>
              <w:numPr>
                <w:ilvl w:val="1"/>
                <w:numId w:val="4"/>
              </w:numPr>
            </w:pPr>
            <w:r>
              <w:t>«El papel de la ciberseguridad en los servicios financieros» por Varun Haran (Grupo de Medios de Seguridad de la Información)</w:t>
            </w:r>
          </w:p>
          <w:p w14:paraId="452D4E05" w14:textId="77777777" w:rsidR="0006431E" w:rsidRDefault="00000000">
            <w:pPr>
              <w:pStyle w:val="P68B1DB1-Navaden2"/>
              <w:numPr>
                <w:ilvl w:val="0"/>
                <w:numId w:val="4"/>
              </w:numPr>
            </w:pPr>
            <w:r>
              <w:t>Recursos en línea:</w:t>
            </w:r>
          </w:p>
          <w:p w14:paraId="7616E22A" w14:textId="77777777" w:rsidR="0006431E" w:rsidRDefault="00000000">
            <w:pPr>
              <w:pStyle w:val="P68B1DB1-Navaden3"/>
              <w:numPr>
                <w:ilvl w:val="1"/>
                <w:numId w:val="4"/>
              </w:numPr>
            </w:pPr>
            <w:r>
              <w:t>Tendencias de la banca digital</w:t>
            </w:r>
          </w:p>
          <w:p w14:paraId="66EF68FB" w14:textId="77777777" w:rsidR="0006431E" w:rsidRDefault="00000000">
            <w:pPr>
              <w:pStyle w:val="P68B1DB1-Navaden3"/>
              <w:numPr>
                <w:ilvl w:val="1"/>
                <w:numId w:val="4"/>
              </w:numPr>
            </w:pPr>
            <w:r>
              <w:t>Transformación Digital en Finanzas</w:t>
            </w:r>
          </w:p>
          <w:p w14:paraId="099B4B9D" w14:textId="77777777" w:rsidR="0006431E" w:rsidRDefault="00000000">
            <w:pPr>
              <w:pStyle w:val="P68B1DB1-Navaden3"/>
              <w:numPr>
                <w:ilvl w:val="1"/>
                <w:numId w:val="4"/>
              </w:numPr>
            </w:pPr>
            <w:r>
              <w:t>Aplicaciones de Presupuesto y Gestión Financiera</w:t>
            </w:r>
          </w:p>
          <w:p w14:paraId="25B08520" w14:textId="77777777" w:rsidR="0006431E" w:rsidRDefault="00000000">
            <w:pPr>
              <w:pStyle w:val="P68B1DB1-Navaden2"/>
              <w:numPr>
                <w:ilvl w:val="0"/>
                <w:numId w:val="4"/>
              </w:numPr>
            </w:pPr>
            <w:r>
              <w:t>Cursos y Webinars:</w:t>
            </w:r>
          </w:p>
          <w:p w14:paraId="7FEFF436" w14:textId="77777777" w:rsidR="0006431E" w:rsidRDefault="00000000">
            <w:pPr>
              <w:pStyle w:val="P68B1DB1-Navaden3"/>
              <w:numPr>
                <w:ilvl w:val="1"/>
                <w:numId w:val="4"/>
              </w:numPr>
            </w:pPr>
            <w:r>
              <w:t>Coursera — FinTech: Fundaciones y Aplicaciones de la Tecnología Financiera</w:t>
            </w:r>
          </w:p>
          <w:p w14:paraId="238D9DD8" w14:textId="77777777" w:rsidR="0006431E" w:rsidRDefault="00000000">
            <w:pPr>
              <w:pStyle w:val="P68B1DB1-Navaden2"/>
              <w:numPr>
                <w:ilvl w:val="0"/>
                <w:numId w:val="4"/>
              </w:numPr>
            </w:pPr>
            <w:r>
              <w:t>Informes y documentos técnicos:</w:t>
            </w:r>
          </w:p>
          <w:p w14:paraId="496FB0E6" w14:textId="60EBF8D5" w:rsidR="0006431E" w:rsidRDefault="00000000">
            <w:pPr>
              <w:pStyle w:val="P68B1DB1-Navaden3"/>
              <w:numPr>
                <w:ilvl w:val="1"/>
                <w:numId w:val="4"/>
              </w:numPr>
            </w:pPr>
            <w:r>
              <w:t>Foro Económico Mundial — La Nueva Física de los Servicios Financieros</w:t>
            </w:r>
          </w:p>
        </w:tc>
      </w:tr>
      <w:tr w:rsidR="0006431E" w:rsidRPr="00BF3A5F" w14:paraId="7793E4D0" w14:textId="77777777">
        <w:trPr>
          <w:trHeight w:val="425"/>
          <w:jc w:val="center"/>
        </w:trPr>
        <w:tc>
          <w:tcPr>
            <w:tcW w:w="1838" w:type="dxa"/>
            <w:shd w:val="clear" w:color="auto" w:fill="0AD995"/>
            <w:vAlign w:val="center"/>
          </w:tcPr>
          <w:p w14:paraId="30FC787A" w14:textId="0A3D01B4" w:rsidR="0006431E" w:rsidRDefault="00000000">
            <w:pPr>
              <w:pStyle w:val="P68B1DB1-Navaden2"/>
            </w:pPr>
            <w:r>
              <w:t>Material relacionado</w:t>
            </w:r>
          </w:p>
        </w:tc>
        <w:tc>
          <w:tcPr>
            <w:tcW w:w="7505" w:type="dxa"/>
            <w:gridSpan w:val="4"/>
            <w:vAlign w:val="center"/>
          </w:tcPr>
          <w:p w14:paraId="60A6BC55" w14:textId="169C37B2" w:rsidR="0006431E" w:rsidRPr="00BF3A5F" w:rsidRDefault="00000000">
            <w:pPr>
              <w:pStyle w:val="P68B1DB1-Navaden3"/>
              <w:rPr>
                <w:lang w:val="en-GB"/>
              </w:rPr>
            </w:pPr>
            <w:r w:rsidRPr="00BF3A5F">
              <w:rPr>
                <w:lang w:val="en-GB"/>
              </w:rPr>
              <w:t>DREAM_WP3_Training_RRA_ES</w:t>
            </w:r>
          </w:p>
        </w:tc>
      </w:tr>
      <w:tr w:rsidR="0006431E" w14:paraId="58FD6C2F" w14:textId="77777777">
        <w:trPr>
          <w:trHeight w:val="425"/>
          <w:jc w:val="center"/>
        </w:trPr>
        <w:tc>
          <w:tcPr>
            <w:tcW w:w="1838" w:type="dxa"/>
            <w:shd w:val="clear" w:color="auto" w:fill="0AD995"/>
            <w:vAlign w:val="center"/>
          </w:tcPr>
          <w:p w14:paraId="7EB3E3D7" w14:textId="4B140FC3" w:rsidR="0006431E" w:rsidRDefault="00000000">
            <w:pPr>
              <w:pStyle w:val="P68B1DB1-Navaden2"/>
            </w:pPr>
            <w:r>
              <w:t>Vídeo (en su caso)</w:t>
            </w:r>
          </w:p>
        </w:tc>
        <w:tc>
          <w:tcPr>
            <w:tcW w:w="7505" w:type="dxa"/>
            <w:gridSpan w:val="4"/>
            <w:vAlign w:val="center"/>
          </w:tcPr>
          <w:p w14:paraId="5638B826" w14:textId="02E99EBE" w:rsidR="0006431E" w:rsidRDefault="00000000">
            <w:pPr>
              <w:pStyle w:val="P68B1DB1-Navaden3"/>
            </w:pPr>
            <w:r>
              <w:t>/</w:t>
            </w:r>
          </w:p>
        </w:tc>
      </w:tr>
    </w:tbl>
    <w:p w14:paraId="3D2DCADD" w14:textId="77777777" w:rsidR="0006431E" w:rsidRDefault="0006431E">
      <w:pPr>
        <w:jc w:val="center"/>
        <w:rPr>
          <w:color w:val="1B193E"/>
          <w:sz w:val="20"/>
        </w:rPr>
      </w:pPr>
    </w:p>
    <w:sectPr w:rsidR="0006431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37C9" w14:textId="77777777" w:rsidR="00AD042D" w:rsidRDefault="00AD042D">
      <w:pPr>
        <w:spacing w:after="0" w:line="240" w:lineRule="auto"/>
      </w:pPr>
      <w:r>
        <w:separator/>
      </w:r>
    </w:p>
  </w:endnote>
  <w:endnote w:type="continuationSeparator" w:id="0">
    <w:p w14:paraId="5D28FEF3" w14:textId="77777777" w:rsidR="00AD042D" w:rsidRDefault="00AD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CB2B" w14:textId="54F1338C" w:rsidR="0006431E" w:rsidRDefault="00000000">
    <w:pPr>
      <w:pStyle w:val="Piedepgina"/>
    </w:pPr>
    <w:r>
      <w:rPr>
        <w:noProof/>
      </w:rPr>
      <w:drawing>
        <wp:anchor distT="0" distB="0" distL="114300" distR="114300" simplePos="0" relativeHeight="251675648" behindDoc="0" locked="0" layoutInCell="1" allowOverlap="1" wp14:anchorId="42A06DB2" wp14:editId="14ADB121">
          <wp:simplePos x="0" y="0"/>
          <wp:positionH relativeFrom="column">
            <wp:posOffset>5495925</wp:posOffset>
          </wp:positionH>
          <wp:positionV relativeFrom="paragraph">
            <wp:posOffset>-600075</wp:posOffset>
          </wp:positionV>
          <wp:extent cx="1259840" cy="1732280"/>
          <wp:effectExtent l="0" t="0" r="0" b="1270"/>
          <wp:wrapNone/>
          <wp:docPr id="19" name="Grupo 19"/>
          <wp:cNvGraphicFramePr/>
          <a:graphic xmlns:a="http://schemas.openxmlformats.org/drawingml/2006/main">
            <a:graphicData uri="http://schemas.microsoft.com/office/word/2010/wordprocessingGroup">
              <wpg:wgp>
                <wpg:cNvGrpSpPr/>
                <wpg:grpSpPr>
                  <a:xfrm>
                    <a:off x="0" y="0"/>
                    <a:ext cx="1259840" cy="1732280"/>
                    <a:chOff x="0" y="0"/>
                    <a:chExt cx="1259840" cy="1732280"/>
                  </a:xfrm>
                </wpg:grpSpPr>
                <wps:wsp>
                  <wps:cNvPr id="10" name="Elipse 9">
                    <a:extLst>
                      <a:ext uri="{FF2B5EF4-FFF2-40B4-BE49-F238E27FC236}">
                        <a16:creationId xmlns:a16="http://schemas.microsoft.com/office/drawing/2014/main" id="{8144F513-20BC-E16C-BF0A-E70222D439E1}"/>
                      </a:ext>
                    </a:extLst>
                  </wps:cNvPr>
                  <wps:cNvSpPr/>
                  <wps:spPr>
                    <a:xfrm>
                      <a:off x="0" y="472440"/>
                      <a:ext cx="1259840" cy="1259840"/>
                    </a:xfrm>
                    <a:prstGeom prst="ellipse">
                      <a:avLst/>
                    </a:prstGeom>
                    <a:solidFill>
                      <a:srgbClr val="0AD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Elipse 10">
                    <a:extLst>
                      <a:ext uri="{FF2B5EF4-FFF2-40B4-BE49-F238E27FC236}">
                        <a16:creationId xmlns:a16="http://schemas.microsoft.com/office/drawing/2014/main" id="{A1846C55-3CB2-AB2E-7441-AEE9EB05106E}"/>
                      </a:ext>
                    </a:extLst>
                  </wps:cNvPr>
                  <wps:cNvSpPr/>
                  <wps:spPr>
                    <a:xfrm>
                      <a:off x="502920" y="0"/>
                      <a:ext cx="719455" cy="719455"/>
                    </a:xfrm>
                    <a:prstGeom prst="ellipse">
                      <a:avLst/>
                    </a:prstGeom>
                    <a:solidFill>
                      <a:srgbClr val="F6AA0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w:r>
    <w:r>
      <w:rPr>
        <w:noProof/>
      </w:rPr>
      <mc:AlternateContent>
        <mc:Choice Requires="wps">
          <w:drawing>
            <wp:anchor distT="45720" distB="45720" distL="114300" distR="114300" simplePos="0" relativeHeight="251670528" behindDoc="0" locked="0" layoutInCell="1" allowOverlap="1" wp14:anchorId="36D0CDD9" wp14:editId="00A9D261">
              <wp:simplePos x="0" y="0"/>
              <wp:positionH relativeFrom="page">
                <wp:posOffset>5509260</wp:posOffset>
              </wp:positionH>
              <wp:positionV relativeFrom="paragraph">
                <wp:posOffset>-371475</wp:posOffset>
              </wp:positionV>
              <wp:extent cx="1690370" cy="360680"/>
              <wp:effectExtent l="0" t="0" r="0" b="1270"/>
              <wp:wrapSquare wrapText="bothSides"/>
              <wp:docPr id="15" name="Cuadro de texto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360680"/>
                      </a:xfrm>
                      <a:prstGeom prst="rect">
                        <a:avLst/>
                      </a:prstGeom>
                      <a:noFill/>
                      <a:ln w="9525">
                        <a:noFill/>
                        <a:miter lim="800000"/>
                        <a:headEnd/>
                        <a:tailEnd/>
                      </a:ln>
                    </wps:spPr>
                    <wps:txbx>
                      <w:txbxContent>
                        <w:p w14:paraId="19DB30DD" w14:textId="693D8F32" w:rsidR="0006431E" w:rsidRDefault="00000000">
                          <w:pPr>
                            <w:jc w:val="center"/>
                            <w:rPr>
                              <w:rFonts w:asciiTheme="majorHAnsi" w:hAnsiTheme="majorHAnsi" w:cstheme="majorHAnsi"/>
                              <w:b/>
                              <w:color w:val="1B193E"/>
                              <w:sz w:val="24"/>
                            </w:rPr>
                          </w:pPr>
                          <w:hyperlink r:id="rId1" w:history="1">
                            <w:r>
                              <w:rPr>
                                <w:rStyle w:val="Hipervnculo"/>
                                <w:rFonts w:asciiTheme="majorHAnsi" w:hAnsiTheme="majorHAnsi" w:cstheme="majorHAnsi"/>
                                <w:b/>
                                <w:color w:val="1B193E"/>
                                <w:sz w:val="24"/>
                                <w:u w:val="none"/>
                              </w:rPr>
                              <w:t>digital-dream-lab.eu</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6D0CDD9" id="_x0000_t202" coordsize="21600,21600" o:spt="202" path="m,l,21600r21600,l21600,xe">
              <v:stroke joinstyle="miter"/>
              <v:path gradientshapeok="t" o:connecttype="rect"/>
            </v:shapetype>
            <v:shape id="Cuadro de textos 2" o:spid="_x0000_s1026" type="#_x0000_t202" style="position:absolute;margin-left:433.8pt;margin-top:-29.25pt;width:133.1pt;height:28.4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" filled="f" stroked="f">
              <v:textbox>
                <w:txbxContent>
                  <w:p w14:paraId="19DB30DD" w14:textId="693D8F32" w:rsidR="0006431E" w:rsidRDefault="00000000">
                    <w:pPr>
                      <w:jc w:val="center"/>
                      <w:rPr>
                        <w:rFonts w:asciiTheme="majorHAnsi" w:hAnsiTheme="majorHAnsi" w:cstheme="majorHAnsi"/>
                        <w:b/>
                        <w:color w:val="1B193E"/>
                        <w:sz w:val="24"/>
                      </w:rPr>
                    </w:pPr>
                    <w:hyperlink r:id="rId2" w:history="1">
                      <w:r>
                        <w:rPr>
                          <w:rStyle w:val="Hipervnculo"/>
                          <w:rFonts w:asciiTheme="majorHAnsi" w:hAnsiTheme="majorHAnsi" w:cstheme="majorHAnsi"/>
                          <w:b/>
                          <w:color w:val="1B193E"/>
                          <w:sz w:val="24"/>
                          <w:u w:val="none"/>
                        </w:rPr>
                        <w:t>digital-dream-lab.eu</w:t>
                      </w:r>
                    </w:hyperlink>
                  </w:p>
                </w:txbxContent>
              </v:textbox>
              <w10:wrap type="square" anchorx="page"/>
            </v:shape>
          </w:pict>
        </mc:Fallback>
      </mc:AlternateContent>
    </w:r>
    <w:r>
      <w:rPr>
        <w:noProof/>
      </w:rPr>
      <mc:AlternateContent>
        <mc:Choice Requires="wps">
          <w:drawing>
            <wp:anchor distT="0" distB="0" distL="114300" distR="114300" simplePos="0" relativeHeight="251662336" behindDoc="0" locked="0" layoutInCell="1" allowOverlap="1" wp14:anchorId="4B359A04" wp14:editId="4B4A68F8">
              <wp:simplePos x="0" y="0"/>
              <wp:positionH relativeFrom="column">
                <wp:posOffset>-996950</wp:posOffset>
              </wp:positionH>
              <wp:positionV relativeFrom="paragraph">
                <wp:posOffset>-52070</wp:posOffset>
              </wp:positionV>
              <wp:extent cx="6324600" cy="624840"/>
              <wp:effectExtent l="0" t="0" r="0" b="3810"/>
              <wp:wrapNone/>
              <wp:docPr id="217" name="Cuadro de texto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624840"/>
                      </a:xfrm>
                      <a:prstGeom prst="rect">
                        <a:avLst/>
                      </a:prstGeom>
                      <a:noFill/>
                      <a:ln w="9525">
                        <a:noFill/>
                        <a:miter lim="800000"/>
                        <a:headEnd/>
                        <a:tailEnd/>
                      </a:ln>
                    </wps:spPr>
                    <wps:txbx>
                      <w:txbxContent>
                        <w:p w14:paraId="03090657" w14:textId="49730D90" w:rsidR="0006431E" w:rsidRDefault="00000000">
                          <w:pPr>
                            <w:pStyle w:val="P68B1DB1-Navaden8"/>
                          </w:pPr>
                          <w:r>
                            <w:t>Financiado por la Unión Europea. No obstante, las opiniones y opiniones expresadas son únicamente de los autores y no reflejan necesariamente las de la Unión Europea o de la Agencia Ejecutiva Europea en Educación y Cultura (EACEA). Ni la Unión Europea ni la EACEA pueden ser consideradas responsables de ellos.</w:t>
                          </w:r>
                        </w:p>
                        <w:p w14:paraId="43626E89" w14:textId="78FAD2B9" w:rsidR="0006431E" w:rsidRDefault="0006431E"/>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B359A04" id="_x0000_s1027" type="#_x0000_t202" style="position:absolute;margin-left:-78.5pt;margin-top:-4.1pt;width:498pt;height:49.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" filled="f" stroked="f">
              <v:textbox>
                <w:txbxContent>
                  <w:p w14:paraId="03090657" w14:textId="49730D90" w:rsidR="0006431E" w:rsidRDefault="00000000">
                    <w:pPr>
                      <w:pStyle w:val="P68B1DB1-Navaden8"/>
                    </w:pPr>
                    <w:r>
                      <w:t>Financiado por la Unión Europea. No obstante, las opiniones y opiniones expresadas son únicamente de los autores y no reflejan necesariamente las de la Unión Europea o de la Agencia Ejecutiva Europea en Educación y Cultura (EACEA). Ni la Unión Europea ni la EACEA pueden ser consideradas responsables de ellos.</w:t>
                    </w:r>
                  </w:p>
                  <w:p w14:paraId="43626E89" w14:textId="78FAD2B9" w:rsidR="0006431E" w:rsidRDefault="0006431E"/>
                </w:txbxContent>
              </v:textbox>
            </v:shape>
          </w:pict>
        </mc:Fallback>
      </mc:AlternateContent>
    </w:r>
    <w:r>
      <w:rPr>
        <w:noProof/>
      </w:rPr>
      <w:drawing>
        <wp:anchor distT="0" distB="0" distL="114300" distR="114300" simplePos="0" relativeHeight="251661312" behindDoc="0" locked="0" layoutInCell="1" allowOverlap="1" wp14:anchorId="2C344384" wp14:editId="176CFD9F">
          <wp:simplePos x="0" y="0"/>
          <wp:positionH relativeFrom="column">
            <wp:posOffset>-1080135</wp:posOffset>
          </wp:positionH>
          <wp:positionV relativeFrom="paragraph">
            <wp:posOffset>-82608</wp:posOffset>
          </wp:positionV>
          <wp:extent cx="7566660" cy="693420"/>
          <wp:effectExtent l="0" t="0" r="0" b="0"/>
          <wp:wrapNone/>
          <wp:docPr id="6" name="Rectángulo 6"/>
          <wp:cNvGraphicFramePr/>
          <a:graphic xmlns:a="http://schemas.openxmlformats.org/drawingml/2006/main">
            <a:graphicData uri="http://schemas.microsoft.com/office/word/2010/wordprocessingShape">
              <wps:wsp>
                <wps:cNvSpPr/>
                <wps:spPr>
                  <a:xfrm>
                    <a:off x="0" y="0"/>
                    <a:ext cx="7566660" cy="693420"/>
                  </a:xfrm>
                  <a:prstGeom prst="rect">
                    <a:avLst/>
                  </a:prstGeom>
                  <a:solidFill>
                    <a:srgbClr val="1B19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55F99" w14:textId="77777777" w:rsidR="00AD042D" w:rsidRDefault="00AD042D">
      <w:pPr>
        <w:spacing w:after="0" w:line="240" w:lineRule="auto"/>
      </w:pPr>
      <w:r>
        <w:separator/>
      </w:r>
    </w:p>
  </w:footnote>
  <w:footnote w:type="continuationSeparator" w:id="0">
    <w:p w14:paraId="7456F383" w14:textId="77777777" w:rsidR="00AD042D" w:rsidRDefault="00AD0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7E27" w14:textId="0090D58A" w:rsidR="0006431E" w:rsidRDefault="00000000">
    <w:pPr>
      <w:pStyle w:val="Encabezado"/>
    </w:pPr>
    <w:r>
      <w:rPr>
        <w:noProof/>
      </w:rPr>
      <w:drawing>
        <wp:anchor distT="0" distB="0" distL="114300" distR="114300" simplePos="0" relativeHeight="251653120" behindDoc="0" locked="0" layoutInCell="1" allowOverlap="1" wp14:anchorId="330396C3" wp14:editId="1830E15C">
          <wp:simplePos x="0" y="0"/>
          <wp:positionH relativeFrom="column">
            <wp:posOffset>-1350645</wp:posOffset>
          </wp:positionH>
          <wp:positionV relativeFrom="paragraph">
            <wp:posOffset>-528955</wp:posOffset>
          </wp:positionV>
          <wp:extent cx="1271270" cy="1094740"/>
          <wp:effectExtent l="0" t="0" r="5080" b="0"/>
          <wp:wrapNone/>
          <wp:docPr id="13" name="Grupo 13"/>
          <wp:cNvGraphicFramePr/>
          <a:graphic xmlns:a="http://schemas.openxmlformats.org/drawingml/2006/main">
            <a:graphicData uri="http://schemas.microsoft.com/office/word/2010/wordprocessingGroup">
              <wpg:wgp>
                <wpg:cNvGrpSpPr/>
                <wpg:grpSpPr>
                  <a:xfrm>
                    <a:off x="0" y="0"/>
                    <a:ext cx="1271270" cy="1094740"/>
                    <a:chOff x="0" y="0"/>
                    <a:chExt cx="1271520" cy="1095240"/>
                  </a:xfrm>
                </wpg:grpSpPr>
                <wps:wsp>
                  <wps:cNvPr id="8" name="Elipse 7">
                    <a:extLst>
                      <a:ext uri="{FF2B5EF4-FFF2-40B4-BE49-F238E27FC236}">
                        <a16:creationId xmlns:a16="http://schemas.microsoft.com/office/drawing/2014/main" id="{5C6DF67F-005A-8458-5A89-C996DCFAD307}"/>
                      </a:ext>
                    </a:extLst>
                  </wps:cNvPr>
                  <wps:cNvSpPr/>
                  <wps:spPr>
                    <a:xfrm>
                      <a:off x="0" y="15240"/>
                      <a:ext cx="1080000" cy="1080000"/>
                    </a:xfrm>
                    <a:prstGeom prst="ellipse">
                      <a:avLst/>
                    </a:prstGeom>
                    <a:solidFill>
                      <a:srgbClr val="F6AA0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Elipse 8">
                    <a:extLst>
                      <a:ext uri="{FF2B5EF4-FFF2-40B4-BE49-F238E27FC236}">
                        <a16:creationId xmlns:a16="http://schemas.microsoft.com/office/drawing/2014/main" id="{B94E7903-9A2C-AAFD-9531-B8DF83460301}"/>
                      </a:ext>
                    </a:extLst>
                  </wps:cNvPr>
                  <wps:cNvSpPr/>
                  <wps:spPr>
                    <a:xfrm>
                      <a:off x="731520" y="0"/>
                      <a:ext cx="540000" cy="540000"/>
                    </a:xfrm>
                    <a:prstGeom prst="ellipse">
                      <a:avLst/>
                    </a:prstGeom>
                    <a:solidFill>
                      <a:srgbClr val="0AD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w:r>
    <w:r>
      <w:rPr>
        <w:noProof/>
      </w:rPr>
      <w:drawing>
        <wp:anchor distT="0" distB="0" distL="114300" distR="114300" simplePos="0" relativeHeight="251681792" behindDoc="0" locked="0" layoutInCell="1" allowOverlap="1" wp14:anchorId="449A111A" wp14:editId="32106357">
          <wp:simplePos x="0" y="0"/>
          <wp:positionH relativeFrom="margin">
            <wp:align>center</wp:align>
          </wp:positionH>
          <wp:positionV relativeFrom="paragraph">
            <wp:posOffset>154305</wp:posOffset>
          </wp:positionV>
          <wp:extent cx="108000" cy="108000"/>
          <wp:effectExtent l="0" t="0" r="6350" b="6350"/>
          <wp:wrapNone/>
          <wp:docPr id="25" name="Elipse 8"/>
          <wp:cNvGraphicFramePr/>
          <a:graphic xmlns:a="http://schemas.openxmlformats.org/drawingml/2006/main">
            <a:graphicData uri="http://schemas.microsoft.com/office/word/2010/wordprocessingShape">
              <wps:wsp>
                <wps:cNvSpPr/>
                <wps:spPr>
                  <a:xfrm>
                    <a:off x="0" y="0"/>
                    <a:ext cx="108000" cy="108000"/>
                  </a:xfrm>
                  <a:prstGeom prst="ellipse">
                    <a:avLst/>
                  </a:prstGeom>
                  <a:solidFill>
                    <a:srgbClr val="F6AA0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4144" behindDoc="0" locked="0" layoutInCell="1" allowOverlap="1" wp14:anchorId="305767C8" wp14:editId="55BD977E">
          <wp:simplePos x="0" y="0"/>
          <wp:positionH relativeFrom="margin">
            <wp:posOffset>475615</wp:posOffset>
          </wp:positionH>
          <wp:positionV relativeFrom="paragraph">
            <wp:posOffset>-243205</wp:posOffset>
          </wp:positionV>
          <wp:extent cx="1790700" cy="904875"/>
          <wp:effectExtent l="0" t="0" r="0" b="952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07BA6EB1" wp14:editId="2F929898">
          <wp:simplePos x="0" y="0"/>
          <wp:positionH relativeFrom="margin">
            <wp:align>right</wp:align>
          </wp:positionH>
          <wp:positionV relativeFrom="paragraph">
            <wp:posOffset>-31750</wp:posOffset>
          </wp:positionV>
          <wp:extent cx="2253615" cy="472440"/>
          <wp:effectExtent l="0" t="0" r="0" b="3810"/>
          <wp:wrapTopAndBottom/>
          <wp:docPr id="48" name="Imagen 47" descr="Texto  Descripción generada automáticamente">
            <a:extLst xmlns:a="http://schemas.openxmlformats.org/drawingml/2006/main">
              <a:ext uri="{FF2B5EF4-FFF2-40B4-BE49-F238E27FC236}">
                <a16:creationId xmlns:a16="http://schemas.microsoft.com/office/drawing/2014/main" id="{2CA96A6B-389F-0861-B1FE-2EA0F58657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n 47" descr="Texto  Descripción generada automáticamente">
                    <a:extLst>
                      <a:ext uri="{FF2B5EF4-FFF2-40B4-BE49-F238E27FC236}">
                        <a16:creationId xmlns:a16="http://schemas.microsoft.com/office/drawing/2014/main" id="{2CA96A6B-389F-0861-B1FE-2EA0F586578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53615" cy="4724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095" behindDoc="0" locked="0" layoutInCell="1" allowOverlap="1" wp14:anchorId="3865D4E4" wp14:editId="4F5CC2AF">
          <wp:simplePos x="0" y="0"/>
          <wp:positionH relativeFrom="page">
            <wp:align>right</wp:align>
          </wp:positionH>
          <wp:positionV relativeFrom="paragraph">
            <wp:posOffset>-449580</wp:posOffset>
          </wp:positionV>
          <wp:extent cx="7566660" cy="68580"/>
          <wp:effectExtent l="0" t="0" r="0" b="7620"/>
          <wp:wrapNone/>
          <wp:docPr id="20" name="Rectángulo 20"/>
          <wp:cNvGraphicFramePr/>
          <a:graphic xmlns:a="http://schemas.openxmlformats.org/drawingml/2006/main">
            <a:graphicData uri="http://schemas.microsoft.com/office/word/2010/wordprocessingShape">
              <wps:wsp>
                <wps:cNvSpPr/>
                <wps:spPr>
                  <a:xfrm>
                    <a:off x="0" y="0"/>
                    <a:ext cx="7566660" cy="68580"/>
                  </a:xfrm>
                  <a:prstGeom prst="rect">
                    <a:avLst/>
                  </a:prstGeom>
                  <a:solidFill>
                    <a:srgbClr val="1B19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4E85"/>
    <w:multiLevelType w:val="hybridMultilevel"/>
    <w:tmpl w:val="FE3E1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D801F7"/>
    <w:multiLevelType w:val="multilevel"/>
    <w:tmpl w:val="0C185E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BF36E1"/>
    <w:multiLevelType w:val="hybridMultilevel"/>
    <w:tmpl w:val="18DC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83142"/>
    <w:multiLevelType w:val="hybridMultilevel"/>
    <w:tmpl w:val="91E0C2C0"/>
    <w:lvl w:ilvl="0" w:tplc="8D30D512">
      <w:start w:val="3"/>
      <w:numFmt w:val="bullet"/>
      <w:lvlText w:val="-"/>
      <w:lvlJc w:val="left"/>
      <w:pPr>
        <w:ind w:left="720" w:hanging="360"/>
      </w:pPr>
      <w:rPr>
        <w:rFonts w:ascii="Calibri" w:eastAsiaTheme="minorEastAsia" w:hAnsi="Calibri" w:cs="Calibri"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41D1E28"/>
    <w:multiLevelType w:val="multilevel"/>
    <w:tmpl w:val="59241F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1642185">
    <w:abstractNumId w:val="2"/>
  </w:num>
  <w:num w:numId="2" w16cid:durableId="1851989417">
    <w:abstractNumId w:val="0"/>
  </w:num>
  <w:num w:numId="3" w16cid:durableId="1480687367">
    <w:abstractNumId w:val="4"/>
  </w:num>
  <w:num w:numId="4" w16cid:durableId="1333753975">
    <w:abstractNumId w:val="1"/>
  </w:num>
  <w:num w:numId="5" w16cid:durableId="2122459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C6"/>
    <w:rsid w:val="000252CB"/>
    <w:rsid w:val="000269C8"/>
    <w:rsid w:val="00026C43"/>
    <w:rsid w:val="00036D73"/>
    <w:rsid w:val="0006431E"/>
    <w:rsid w:val="000921BA"/>
    <w:rsid w:val="00096D04"/>
    <w:rsid w:val="000B5BAD"/>
    <w:rsid w:val="000C0A87"/>
    <w:rsid w:val="000F01D1"/>
    <w:rsid w:val="00100AB7"/>
    <w:rsid w:val="001A00CC"/>
    <w:rsid w:val="001A03DF"/>
    <w:rsid w:val="001B4159"/>
    <w:rsid w:val="001D2AE5"/>
    <w:rsid w:val="00211015"/>
    <w:rsid w:val="00215289"/>
    <w:rsid w:val="002415D8"/>
    <w:rsid w:val="00287D47"/>
    <w:rsid w:val="002A027D"/>
    <w:rsid w:val="002A04B8"/>
    <w:rsid w:val="002A1B9B"/>
    <w:rsid w:val="002F7340"/>
    <w:rsid w:val="00327087"/>
    <w:rsid w:val="00327114"/>
    <w:rsid w:val="0034612C"/>
    <w:rsid w:val="00351A0C"/>
    <w:rsid w:val="003744FB"/>
    <w:rsid w:val="00391659"/>
    <w:rsid w:val="00393E79"/>
    <w:rsid w:val="00397407"/>
    <w:rsid w:val="003C2885"/>
    <w:rsid w:val="003C753E"/>
    <w:rsid w:val="003F42CB"/>
    <w:rsid w:val="00407CAE"/>
    <w:rsid w:val="00454DEB"/>
    <w:rsid w:val="0046577A"/>
    <w:rsid w:val="004734D2"/>
    <w:rsid w:val="004958DA"/>
    <w:rsid w:val="004A648D"/>
    <w:rsid w:val="005169A2"/>
    <w:rsid w:val="00521E4F"/>
    <w:rsid w:val="0053011F"/>
    <w:rsid w:val="0055403D"/>
    <w:rsid w:val="00560F9E"/>
    <w:rsid w:val="005640CC"/>
    <w:rsid w:val="0059601F"/>
    <w:rsid w:val="005A2D30"/>
    <w:rsid w:val="005A794B"/>
    <w:rsid w:val="005C0450"/>
    <w:rsid w:val="005C6941"/>
    <w:rsid w:val="00616B71"/>
    <w:rsid w:val="0063246A"/>
    <w:rsid w:val="00653629"/>
    <w:rsid w:val="00660545"/>
    <w:rsid w:val="006C37EB"/>
    <w:rsid w:val="006E3C80"/>
    <w:rsid w:val="006E51AF"/>
    <w:rsid w:val="006F3973"/>
    <w:rsid w:val="00726493"/>
    <w:rsid w:val="00732D17"/>
    <w:rsid w:val="00776923"/>
    <w:rsid w:val="00862DC9"/>
    <w:rsid w:val="00895475"/>
    <w:rsid w:val="00902138"/>
    <w:rsid w:val="009319B6"/>
    <w:rsid w:val="00931E19"/>
    <w:rsid w:val="00942070"/>
    <w:rsid w:val="009838F1"/>
    <w:rsid w:val="00990179"/>
    <w:rsid w:val="00AA4085"/>
    <w:rsid w:val="00AC15AA"/>
    <w:rsid w:val="00AD042D"/>
    <w:rsid w:val="00AE1B5D"/>
    <w:rsid w:val="00B06886"/>
    <w:rsid w:val="00B900B9"/>
    <w:rsid w:val="00BA2226"/>
    <w:rsid w:val="00BB6A4F"/>
    <w:rsid w:val="00BE19DA"/>
    <w:rsid w:val="00BF3A5F"/>
    <w:rsid w:val="00C05809"/>
    <w:rsid w:val="00C151DC"/>
    <w:rsid w:val="00C27E9B"/>
    <w:rsid w:val="00C34979"/>
    <w:rsid w:val="00C92409"/>
    <w:rsid w:val="00CA52A8"/>
    <w:rsid w:val="00CD0ED3"/>
    <w:rsid w:val="00CD4DA1"/>
    <w:rsid w:val="00D22A35"/>
    <w:rsid w:val="00D34908"/>
    <w:rsid w:val="00D3670D"/>
    <w:rsid w:val="00D60F35"/>
    <w:rsid w:val="00D61A1B"/>
    <w:rsid w:val="00D935F9"/>
    <w:rsid w:val="00DC55A4"/>
    <w:rsid w:val="00DC5EDB"/>
    <w:rsid w:val="00DC7203"/>
    <w:rsid w:val="00DE2EE4"/>
    <w:rsid w:val="00DE6134"/>
    <w:rsid w:val="00DF3A3C"/>
    <w:rsid w:val="00E104AB"/>
    <w:rsid w:val="00E70490"/>
    <w:rsid w:val="00ED38C6"/>
    <w:rsid w:val="00EE1CB8"/>
    <w:rsid w:val="00EF74A2"/>
    <w:rsid w:val="00F075F4"/>
    <w:rsid w:val="00F16D4C"/>
    <w:rsid w:val="00F452D2"/>
    <w:rsid w:val="00F5390A"/>
    <w:rsid w:val="00F56D3F"/>
    <w:rsid w:val="00F838EF"/>
    <w:rsid w:val="00F9308B"/>
    <w:rsid w:val="00FA6297"/>
    <w:rsid w:val="00FE59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A9804"/>
  <w15:chartTrackingRefBased/>
  <w15:docId w15:val="{95DF6757-1AB1-4D4C-9A49-ABF3A8D8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D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4DEB"/>
  </w:style>
  <w:style w:type="paragraph" w:styleId="Piedepgina">
    <w:name w:val="footer"/>
    <w:basedOn w:val="Normal"/>
    <w:link w:val="PiedepginaCar"/>
    <w:uiPriority w:val="99"/>
    <w:unhideWhenUsed/>
    <w:rsid w:val="00454D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4DEB"/>
  </w:style>
  <w:style w:type="table" w:styleId="Tablaconcuadrcula">
    <w:name w:val="Table Grid"/>
    <w:basedOn w:val="Tablanormal"/>
    <w:uiPriority w:val="39"/>
    <w:rsid w:val="00454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4DEB"/>
    <w:pPr>
      <w:spacing w:before="100" w:beforeAutospacing="1" w:after="100" w:afterAutospacing="1" w:line="240" w:lineRule="auto"/>
    </w:pPr>
    <w:rPr>
      <w:rFonts w:ascii="Times New Roman" w:eastAsia="Times New Roman" w:hAnsi="Times New Roman" w:cs="Times New Roman"/>
      <w:sz w:val="24"/>
    </w:rPr>
  </w:style>
  <w:style w:type="character" w:styleId="Hipervnculo">
    <w:name w:val="Hyperlink"/>
    <w:basedOn w:val="Fuentedeprrafopredeter"/>
    <w:uiPriority w:val="99"/>
    <w:unhideWhenUsed/>
    <w:rsid w:val="001A03DF"/>
    <w:rPr>
      <w:color w:val="0563C1" w:themeColor="hyperlink"/>
      <w:u w:val="single"/>
    </w:rPr>
  </w:style>
  <w:style w:type="character" w:styleId="Mencinsinresolver">
    <w:name w:val="Unresolved Mention"/>
    <w:basedOn w:val="Fuentedeprrafopredeter"/>
    <w:uiPriority w:val="99"/>
    <w:semiHidden/>
    <w:unhideWhenUsed/>
    <w:rsid w:val="001A03DF"/>
    <w:rPr>
      <w:color w:val="605E5C"/>
      <w:shd w:val="clear" w:color="auto" w:fill="E1DFDD"/>
    </w:rPr>
  </w:style>
  <w:style w:type="paragraph" w:styleId="Prrafodelista">
    <w:name w:val="List Paragraph"/>
    <w:basedOn w:val="Normal"/>
    <w:uiPriority w:val="34"/>
    <w:qFormat/>
    <w:rsid w:val="004734D2"/>
    <w:pPr>
      <w:ind w:left="720"/>
      <w:contextualSpacing/>
    </w:pPr>
  </w:style>
  <w:style w:type="paragraph" w:customStyle="1" w:styleId="P68B1DB1-Navaden1">
    <w:name w:val="P68B1DB1-Navaden1"/>
    <w:basedOn w:val="Normal"/>
    <w:rPr>
      <w:b/>
      <w:color w:val="1B193E"/>
      <w:sz w:val="40"/>
    </w:rPr>
  </w:style>
  <w:style w:type="paragraph" w:customStyle="1" w:styleId="P68B1DB1-Navaden2">
    <w:name w:val="P68B1DB1-Navaden2"/>
    <w:basedOn w:val="Normal"/>
    <w:rPr>
      <w:b/>
      <w:color w:val="1B193E"/>
      <w:sz w:val="24"/>
    </w:rPr>
  </w:style>
  <w:style w:type="paragraph" w:customStyle="1" w:styleId="P68B1DB1-Navaden3">
    <w:name w:val="P68B1DB1-Navaden3"/>
    <w:basedOn w:val="Normal"/>
    <w:rPr>
      <w:color w:val="1B193E"/>
      <w:sz w:val="24"/>
    </w:rPr>
  </w:style>
  <w:style w:type="paragraph" w:customStyle="1" w:styleId="P68B1DB1-Navaden4">
    <w:name w:val="P68B1DB1-Navaden4"/>
    <w:basedOn w:val="Normal"/>
    <w:rPr>
      <w:b/>
      <w:sz w:val="24"/>
    </w:rPr>
  </w:style>
  <w:style w:type="paragraph" w:customStyle="1" w:styleId="P68B1DB1-Navaden5">
    <w:name w:val="P68B1DB1-Navaden5"/>
    <w:basedOn w:val="Normal"/>
    <w:rPr>
      <w:sz w:val="24"/>
    </w:rPr>
  </w:style>
  <w:style w:type="paragraph" w:customStyle="1" w:styleId="P68B1DB1-Odstavekseznama6">
    <w:name w:val="P68B1DB1-Odstavekseznama6"/>
    <w:basedOn w:val="Prrafodelista"/>
    <w:rPr>
      <w:b/>
      <w:color w:val="1B193E"/>
      <w:sz w:val="24"/>
    </w:rPr>
  </w:style>
  <w:style w:type="paragraph" w:customStyle="1" w:styleId="P68B1DB1-Navaden7">
    <w:name w:val="P68B1DB1-Navaden7"/>
    <w:basedOn w:val="Normal"/>
    <w:rPr>
      <w:rFonts w:cstheme="minorHAnsi"/>
      <w:b/>
      <w:sz w:val="24"/>
    </w:rPr>
  </w:style>
  <w:style w:type="paragraph" w:customStyle="1" w:styleId="P68B1DB1-Navaden8">
    <w:name w:val="P68B1DB1-Navaden8"/>
    <w:basedOn w:val="Normal"/>
    <w:rPr>
      <w:color w:val="FFFFFF" w:themeColor="background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8381">
      <w:bodyDiv w:val="1"/>
      <w:marLeft w:val="0"/>
      <w:marRight w:val="0"/>
      <w:marTop w:val="0"/>
      <w:marBottom w:val="0"/>
      <w:divBdr>
        <w:top w:val="none" w:sz="0" w:space="0" w:color="auto"/>
        <w:left w:val="none" w:sz="0" w:space="0" w:color="auto"/>
        <w:bottom w:val="none" w:sz="0" w:space="0" w:color="auto"/>
        <w:right w:val="none" w:sz="0" w:space="0" w:color="auto"/>
      </w:divBdr>
    </w:div>
    <w:div w:id="132256709">
      <w:bodyDiv w:val="1"/>
      <w:marLeft w:val="0"/>
      <w:marRight w:val="0"/>
      <w:marTop w:val="0"/>
      <w:marBottom w:val="0"/>
      <w:divBdr>
        <w:top w:val="none" w:sz="0" w:space="0" w:color="auto"/>
        <w:left w:val="none" w:sz="0" w:space="0" w:color="auto"/>
        <w:bottom w:val="none" w:sz="0" w:space="0" w:color="auto"/>
        <w:right w:val="none" w:sz="0" w:space="0" w:color="auto"/>
      </w:divBdr>
    </w:div>
    <w:div w:id="236743486">
      <w:bodyDiv w:val="1"/>
      <w:marLeft w:val="0"/>
      <w:marRight w:val="0"/>
      <w:marTop w:val="0"/>
      <w:marBottom w:val="0"/>
      <w:divBdr>
        <w:top w:val="none" w:sz="0" w:space="0" w:color="auto"/>
        <w:left w:val="none" w:sz="0" w:space="0" w:color="auto"/>
        <w:bottom w:val="none" w:sz="0" w:space="0" w:color="auto"/>
        <w:right w:val="none" w:sz="0" w:space="0" w:color="auto"/>
      </w:divBdr>
    </w:div>
    <w:div w:id="271401497">
      <w:bodyDiv w:val="1"/>
      <w:marLeft w:val="0"/>
      <w:marRight w:val="0"/>
      <w:marTop w:val="0"/>
      <w:marBottom w:val="0"/>
      <w:divBdr>
        <w:top w:val="none" w:sz="0" w:space="0" w:color="auto"/>
        <w:left w:val="none" w:sz="0" w:space="0" w:color="auto"/>
        <w:bottom w:val="none" w:sz="0" w:space="0" w:color="auto"/>
        <w:right w:val="none" w:sz="0" w:space="0" w:color="auto"/>
      </w:divBdr>
    </w:div>
    <w:div w:id="275064294">
      <w:bodyDiv w:val="1"/>
      <w:marLeft w:val="0"/>
      <w:marRight w:val="0"/>
      <w:marTop w:val="0"/>
      <w:marBottom w:val="0"/>
      <w:divBdr>
        <w:top w:val="none" w:sz="0" w:space="0" w:color="auto"/>
        <w:left w:val="none" w:sz="0" w:space="0" w:color="auto"/>
        <w:bottom w:val="none" w:sz="0" w:space="0" w:color="auto"/>
        <w:right w:val="none" w:sz="0" w:space="0" w:color="auto"/>
      </w:divBdr>
    </w:div>
    <w:div w:id="308365348">
      <w:bodyDiv w:val="1"/>
      <w:marLeft w:val="0"/>
      <w:marRight w:val="0"/>
      <w:marTop w:val="0"/>
      <w:marBottom w:val="0"/>
      <w:divBdr>
        <w:top w:val="none" w:sz="0" w:space="0" w:color="auto"/>
        <w:left w:val="none" w:sz="0" w:space="0" w:color="auto"/>
        <w:bottom w:val="none" w:sz="0" w:space="0" w:color="auto"/>
        <w:right w:val="none" w:sz="0" w:space="0" w:color="auto"/>
      </w:divBdr>
    </w:div>
    <w:div w:id="336463302">
      <w:bodyDiv w:val="1"/>
      <w:marLeft w:val="0"/>
      <w:marRight w:val="0"/>
      <w:marTop w:val="0"/>
      <w:marBottom w:val="0"/>
      <w:divBdr>
        <w:top w:val="none" w:sz="0" w:space="0" w:color="auto"/>
        <w:left w:val="none" w:sz="0" w:space="0" w:color="auto"/>
        <w:bottom w:val="none" w:sz="0" w:space="0" w:color="auto"/>
        <w:right w:val="none" w:sz="0" w:space="0" w:color="auto"/>
      </w:divBdr>
    </w:div>
    <w:div w:id="735935063">
      <w:bodyDiv w:val="1"/>
      <w:marLeft w:val="0"/>
      <w:marRight w:val="0"/>
      <w:marTop w:val="0"/>
      <w:marBottom w:val="0"/>
      <w:divBdr>
        <w:top w:val="none" w:sz="0" w:space="0" w:color="auto"/>
        <w:left w:val="none" w:sz="0" w:space="0" w:color="auto"/>
        <w:bottom w:val="none" w:sz="0" w:space="0" w:color="auto"/>
        <w:right w:val="none" w:sz="0" w:space="0" w:color="auto"/>
      </w:divBdr>
    </w:div>
    <w:div w:id="803235784">
      <w:bodyDiv w:val="1"/>
      <w:marLeft w:val="0"/>
      <w:marRight w:val="0"/>
      <w:marTop w:val="0"/>
      <w:marBottom w:val="0"/>
      <w:divBdr>
        <w:top w:val="none" w:sz="0" w:space="0" w:color="auto"/>
        <w:left w:val="none" w:sz="0" w:space="0" w:color="auto"/>
        <w:bottom w:val="none" w:sz="0" w:space="0" w:color="auto"/>
        <w:right w:val="none" w:sz="0" w:space="0" w:color="auto"/>
      </w:divBdr>
    </w:div>
    <w:div w:id="1049962715">
      <w:bodyDiv w:val="1"/>
      <w:marLeft w:val="0"/>
      <w:marRight w:val="0"/>
      <w:marTop w:val="0"/>
      <w:marBottom w:val="0"/>
      <w:divBdr>
        <w:top w:val="none" w:sz="0" w:space="0" w:color="auto"/>
        <w:left w:val="none" w:sz="0" w:space="0" w:color="auto"/>
        <w:bottom w:val="none" w:sz="0" w:space="0" w:color="auto"/>
        <w:right w:val="none" w:sz="0" w:space="0" w:color="auto"/>
      </w:divBdr>
    </w:div>
    <w:div w:id="1121806201">
      <w:bodyDiv w:val="1"/>
      <w:marLeft w:val="0"/>
      <w:marRight w:val="0"/>
      <w:marTop w:val="0"/>
      <w:marBottom w:val="0"/>
      <w:divBdr>
        <w:top w:val="none" w:sz="0" w:space="0" w:color="auto"/>
        <w:left w:val="none" w:sz="0" w:space="0" w:color="auto"/>
        <w:bottom w:val="none" w:sz="0" w:space="0" w:color="auto"/>
        <w:right w:val="none" w:sz="0" w:space="0" w:color="auto"/>
      </w:divBdr>
    </w:div>
    <w:div w:id="1253007364">
      <w:bodyDiv w:val="1"/>
      <w:marLeft w:val="0"/>
      <w:marRight w:val="0"/>
      <w:marTop w:val="0"/>
      <w:marBottom w:val="0"/>
      <w:divBdr>
        <w:top w:val="none" w:sz="0" w:space="0" w:color="auto"/>
        <w:left w:val="none" w:sz="0" w:space="0" w:color="auto"/>
        <w:bottom w:val="none" w:sz="0" w:space="0" w:color="auto"/>
        <w:right w:val="none" w:sz="0" w:space="0" w:color="auto"/>
      </w:divBdr>
    </w:div>
    <w:div w:id="1359698149">
      <w:bodyDiv w:val="1"/>
      <w:marLeft w:val="0"/>
      <w:marRight w:val="0"/>
      <w:marTop w:val="0"/>
      <w:marBottom w:val="0"/>
      <w:divBdr>
        <w:top w:val="none" w:sz="0" w:space="0" w:color="auto"/>
        <w:left w:val="none" w:sz="0" w:space="0" w:color="auto"/>
        <w:bottom w:val="none" w:sz="0" w:space="0" w:color="auto"/>
        <w:right w:val="none" w:sz="0" w:space="0" w:color="auto"/>
      </w:divBdr>
    </w:div>
    <w:div w:id="1390030274">
      <w:bodyDiv w:val="1"/>
      <w:marLeft w:val="0"/>
      <w:marRight w:val="0"/>
      <w:marTop w:val="0"/>
      <w:marBottom w:val="0"/>
      <w:divBdr>
        <w:top w:val="none" w:sz="0" w:space="0" w:color="auto"/>
        <w:left w:val="none" w:sz="0" w:space="0" w:color="auto"/>
        <w:bottom w:val="none" w:sz="0" w:space="0" w:color="auto"/>
        <w:right w:val="none" w:sz="0" w:space="0" w:color="auto"/>
      </w:divBdr>
    </w:div>
    <w:div w:id="1550459031">
      <w:bodyDiv w:val="1"/>
      <w:marLeft w:val="0"/>
      <w:marRight w:val="0"/>
      <w:marTop w:val="0"/>
      <w:marBottom w:val="0"/>
      <w:divBdr>
        <w:top w:val="none" w:sz="0" w:space="0" w:color="auto"/>
        <w:left w:val="none" w:sz="0" w:space="0" w:color="auto"/>
        <w:bottom w:val="none" w:sz="0" w:space="0" w:color="auto"/>
        <w:right w:val="none" w:sz="0" w:space="0" w:color="auto"/>
      </w:divBdr>
    </w:div>
    <w:div w:id="1607034216">
      <w:bodyDiv w:val="1"/>
      <w:marLeft w:val="0"/>
      <w:marRight w:val="0"/>
      <w:marTop w:val="0"/>
      <w:marBottom w:val="0"/>
      <w:divBdr>
        <w:top w:val="none" w:sz="0" w:space="0" w:color="auto"/>
        <w:left w:val="none" w:sz="0" w:space="0" w:color="auto"/>
        <w:bottom w:val="none" w:sz="0" w:space="0" w:color="auto"/>
        <w:right w:val="none" w:sz="0" w:space="0" w:color="auto"/>
      </w:divBdr>
    </w:div>
    <w:div w:id="1852601122">
      <w:bodyDiv w:val="1"/>
      <w:marLeft w:val="0"/>
      <w:marRight w:val="0"/>
      <w:marTop w:val="0"/>
      <w:marBottom w:val="0"/>
      <w:divBdr>
        <w:top w:val="none" w:sz="0" w:space="0" w:color="auto"/>
        <w:left w:val="none" w:sz="0" w:space="0" w:color="auto"/>
        <w:bottom w:val="none" w:sz="0" w:space="0" w:color="auto"/>
        <w:right w:val="none" w:sz="0" w:space="0" w:color="auto"/>
      </w:divBdr>
    </w:div>
    <w:div w:id="1997681688">
      <w:bodyDiv w:val="1"/>
      <w:marLeft w:val="0"/>
      <w:marRight w:val="0"/>
      <w:marTop w:val="0"/>
      <w:marBottom w:val="0"/>
      <w:divBdr>
        <w:top w:val="none" w:sz="0" w:space="0" w:color="auto"/>
        <w:left w:val="none" w:sz="0" w:space="0" w:color="auto"/>
        <w:bottom w:val="none" w:sz="0" w:space="0" w:color="auto"/>
        <w:right w:val="none" w:sz="0" w:space="0" w:color="auto"/>
      </w:divBdr>
    </w:div>
    <w:div w:id="2020812820">
      <w:bodyDiv w:val="1"/>
      <w:marLeft w:val="0"/>
      <w:marRight w:val="0"/>
      <w:marTop w:val="0"/>
      <w:marBottom w:val="0"/>
      <w:divBdr>
        <w:top w:val="none" w:sz="0" w:space="0" w:color="auto"/>
        <w:left w:val="none" w:sz="0" w:space="0" w:color="auto"/>
        <w:bottom w:val="none" w:sz="0" w:space="0" w:color="auto"/>
        <w:right w:val="none" w:sz="0" w:space="0" w:color="auto"/>
      </w:divBdr>
    </w:div>
    <w:div w:id="209362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digital-dream-lab.eu/" TargetMode="External"/><Relationship Id="rId1" Type="http://schemas.openxmlformats.org/officeDocument/2006/relationships/hyperlink" Target="https://www.digital-dream-lab.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1936</Words>
  <Characters>11039</Characters>
  <Application>Microsoft Office Word</Application>
  <DocSecurity>0</DocSecurity>
  <Lines>91</Lines>
  <Paragraphs>25</Paragraphs>
  <ScaleCrop>false</ScaleCrop>
  <HeadingPairs>
    <vt:vector size="4" baseType="variant">
      <vt:variant>
        <vt:lpstr>Naslov</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Internet Web Solutions</dc:creator>
  <cp:keywords/>
  <dc:description/>
  <cp:lastModifiedBy>Miriam IWS</cp:lastModifiedBy>
  <cp:revision>5</cp:revision>
  <dcterms:created xsi:type="dcterms:W3CDTF">2023-12-27T09:59:00Z</dcterms:created>
  <dcterms:modified xsi:type="dcterms:W3CDTF">2024-01-03T12:23:00Z</dcterms:modified>
</cp:coreProperties>
</file>